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global-environment-facility"/>
    <w:p>
      <w:pPr>
        <w:pStyle w:val="Heading1"/>
      </w:pPr>
      <w:r>
        <w:t xml:space="preserve">Global Environment Facility</w:t>
      </w:r>
    </w:p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2024: Fitzpatrick Voted Against Reducing Funding For Educational And</w:t>
      </w:r>
      <w:r>
        <w:rPr>
          <w:bCs/>
          <w:b/>
        </w:rPr>
        <w:t xml:space="preserve"> </w:t>
      </w:r>
      <w:r>
        <w:rPr>
          <w:bCs/>
          <w:b/>
        </w:rPr>
        <w:t xml:space="preserve">Cultural Exchange Programs By $139.6 Million.</w:t>
      </w:r>
      <w:r>
        <w:t xml:space="preserve"> </w:t>
      </w:r>
      <w:r>
        <w:t xml:space="preserve">In June 2024,</w:t>
      </w:r>
      <w:r>
        <w:t xml:space="preserve"> </w:t>
      </w:r>
      <w:r>
        <w:t xml:space="preserve">Fitzpatrick voted against , according to Congressional Quarterly,</w:t>
      </w:r>
      <w:r>
        <w:t xml:space="preserve"> </w:t>
      </w:r>
      <w:r>
        <w:t xml:space="preserve">“</w:t>
      </w:r>
      <w:r>
        <w:t xml:space="preserve">amendment no. 2 that would reduce by $139.6 million funding for the</w:t>
      </w:r>
      <w:r>
        <w:t xml:space="preserve"> </w:t>
      </w:r>
      <w:r>
        <w:t xml:space="preserve">Global Environment Facility.</w:t>
      </w:r>
      <w:r>
        <w:t xml:space="preserve">”</w:t>
      </w:r>
      <w:r>
        <w:t xml:space="preserve"> </w:t>
      </w:r>
      <w:r>
        <w:t xml:space="preserve">The vote was on the amendment. The</w:t>
      </w:r>
      <w:r>
        <w:t xml:space="preserve"> </w:t>
      </w:r>
      <w:r>
        <w:t xml:space="preserve">underlying legislation was the FY 2025 State-Foreign Operations</w:t>
      </w:r>
      <w:r>
        <w:t xml:space="preserve"> </w:t>
      </w:r>
      <w:r>
        <w:t xml:space="preserve">Appropriations. The House rejected the amendment by a vote of 180 to</w:t>
      </w:r>
      <w:r>
        <w:t xml:space="preserve"> </w:t>
      </w:r>
      <w:r>
        <w:t xml:space="preserve">227. [House Vote 298,</w:t>
      </w:r>
      <w:r>
        <w:t xml:space="preserve"> </w:t>
      </w:r>
      <w:hyperlink r:id="rId20">
        <w:r>
          <w:rPr>
            <w:rStyle w:val="Hyperlink"/>
          </w:rPr>
          <w:t xml:space="preserve">6/27/24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6/27/24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H.Amdt.1031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8771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298.xml" TargetMode="External" /><Relationship Type="http://schemas.openxmlformats.org/officeDocument/2006/relationships/hyperlink" Id="rId23" Target="http://www.congress.gov/bill/118th-congress/house-bill/8771/all-actions" TargetMode="External" /><Relationship Type="http://schemas.openxmlformats.org/officeDocument/2006/relationships/hyperlink" Id="rId21" Target="https://plus.cq.com/vote/2024/H/298?11" TargetMode="External" /><Relationship Type="http://schemas.openxmlformats.org/officeDocument/2006/relationships/hyperlink" Id="rId22" Target="https://www.congress.gov/amendment/118th-congress/house-amendment/1031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298.xml" TargetMode="External" /><Relationship Type="http://schemas.openxmlformats.org/officeDocument/2006/relationships/hyperlink" Id="rId23" Target="http://www.congress.gov/bill/118th-congress/house-bill/8771/all-actions" TargetMode="External" /><Relationship Type="http://schemas.openxmlformats.org/officeDocument/2006/relationships/hyperlink" Id="rId21" Target="https://plus.cq.com/vote/2024/H/298?11" TargetMode="External" /><Relationship Type="http://schemas.openxmlformats.org/officeDocument/2006/relationships/hyperlink" Id="rId22" Target="https://www.congress.gov/amendment/118th-congress/house-amendment/1031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2026-01-27T02:08:48Z</dcterms:created>
  <dcterms:modified xsi:type="dcterms:W3CDTF">2026-01-27T02:08:48Z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