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energy-policy-generally"/>
    <w:p>
      <w:pPr>
        <w:pStyle w:val="Heading1"/>
      </w:pPr>
      <w:r>
        <w:t xml:space="preserve">Energy Policy, Generally</w:t>
      </w:r>
    </w:p>
    <w:bookmarkStart w:id="27" w:name="biden-administration"/>
    <w:p>
      <w:pPr>
        <w:pStyle w:val="Heading3"/>
      </w:pPr>
      <w:r>
        <w:t xml:space="preserve">Biden Administration</w:t>
      </w:r>
    </w:p>
    <w:p>
      <w:pPr>
        <w:pStyle w:val="FirstParagraph"/>
      </w:pPr>
      <w:r>
        <w:rPr>
          <w:bCs/>
          <w:b/>
        </w:rPr>
        <w:t xml:space="preserve">2024: Fitzpatrick Voted To Denounce The Biden Administration’s Energy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(H Res 987) that would denounce</w:t>
      </w:r>
      <w:r>
        <w:t xml:space="preserve"> </w:t>
      </w:r>
      <w:r>
        <w:t xml:space="preserve">the Biden administration’s energy policies, including federal land</w:t>
      </w:r>
      <w:r>
        <w:t xml:space="preserve"> </w:t>
      </w:r>
      <w:r>
        <w:t xml:space="preserve">management policies that have resulted in a reduction in leasing to</w:t>
      </w:r>
      <w:r>
        <w:t xml:space="preserve"> </w:t>
      </w:r>
      <w:r>
        <w:t xml:space="preserve">develop energy resources. It also would encourage the federal government</w:t>
      </w:r>
      <w:r>
        <w:t xml:space="preserve"> </w:t>
      </w:r>
      <w:r>
        <w:t xml:space="preserve">to support the domestic production of</w:t>
      </w:r>
      <w:r>
        <w:t xml:space="preserve"> </w:t>
      </w:r>
      <w:r>
        <w:t xml:space="preserve">‘</w:t>
      </w:r>
      <w:r>
        <w:t xml:space="preserve">reliable and affordable</w:t>
      </w:r>
      <w:r>
        <w:t xml:space="preserve">’</w:t>
      </w:r>
      <w:r>
        <w:t xml:space="preserve"> </w:t>
      </w:r>
      <w:r>
        <w:t xml:space="preserve">energy</w:t>
      </w:r>
      <w:r>
        <w:t xml:space="preserve"> </w:t>
      </w:r>
      <w:r>
        <w:t xml:space="preserve">sources.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217 to 200. [House Vote 96,</w:t>
      </w:r>
      <w:r>
        <w:t xml:space="preserve"> </w:t>
      </w:r>
      <w:hyperlink r:id="rId20">
        <w:r>
          <w:rPr>
            <w:rStyle w:val="Hyperlink"/>
          </w:rPr>
          <w:t xml:space="preserve">3/21/24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Denounce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Energy Policies.</w:t>
      </w:r>
      <w:r>
        <w:t xml:space="preserve"> </w:t>
      </w:r>
      <w:r>
        <w:t xml:space="preserve">In February 2024,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994) that would provide for floor consideration of the SALT Marriage</w:t>
      </w:r>
      <w:r>
        <w:t xml:space="preserve"> </w:t>
      </w:r>
      <w:r>
        <w:t xml:space="preserve">Penalty Elimination Act (HR 7160) and the resolution (H Res 987)</w:t>
      </w:r>
      <w:r>
        <w:t xml:space="preserve"> </w:t>
      </w:r>
      <w:r>
        <w:t xml:space="preserve">denouncing the Biden administration's energy policies. The rule would</w:t>
      </w:r>
      <w:r>
        <w:t xml:space="preserve"> </w:t>
      </w:r>
      <w:r>
        <w:t xml:space="preserve">provide for up to one hour of debate on each bill.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rule. The House rejected the motion by a vote of 195 to 225. [House</w:t>
      </w:r>
      <w:r>
        <w:t xml:space="preserve"> </w:t>
      </w:r>
      <w:r>
        <w:t xml:space="preserve">Vote 48,</w:t>
      </w:r>
      <w:r>
        <w:t xml:space="preserve"> </w:t>
      </w:r>
      <w:hyperlink r:id="rId23">
        <w:r>
          <w:rPr>
            <w:rStyle w:val="Hyperlink"/>
          </w:rPr>
          <w:t xml:space="preserve">2/14/24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2/14/24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7160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4/roll048.xml" TargetMode="External" /><Relationship Type="http://schemas.openxmlformats.org/officeDocument/2006/relationships/hyperlink" Id="rId20" Target="http://clerk.house.gov/evs/2024/roll096.xml" TargetMode="External" /><Relationship Type="http://schemas.openxmlformats.org/officeDocument/2006/relationships/hyperlink" Id="rId24" Target="https://plus.cq.com/vote/2024/H/48?4" TargetMode="External" /><Relationship Type="http://schemas.openxmlformats.org/officeDocument/2006/relationships/hyperlink" Id="rId21" Target="https://plus.cq.com/vote/2024/H/96?3" TargetMode="External" /><Relationship Type="http://schemas.openxmlformats.org/officeDocument/2006/relationships/hyperlink" Id="rId26" Target="https://www.congress.gov/bill/118th-congress/house-bill/7160/all-actions" TargetMode="External" /><Relationship Type="http://schemas.openxmlformats.org/officeDocument/2006/relationships/hyperlink" Id="rId22" Target="https://www.congress.gov/bill/118th-congress/house-resolution/987/all-actions" TargetMode="External" /><Relationship Type="http://schemas.openxmlformats.org/officeDocument/2006/relationships/hyperlink" Id="rId25" Target="https://www.congress.gov/bill/118th-congress/house-resolution/99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4/roll048.xml" TargetMode="External" /><Relationship Type="http://schemas.openxmlformats.org/officeDocument/2006/relationships/hyperlink" Id="rId20" Target="http://clerk.house.gov/evs/2024/roll096.xml" TargetMode="External" /><Relationship Type="http://schemas.openxmlformats.org/officeDocument/2006/relationships/hyperlink" Id="rId24" Target="https://plus.cq.com/vote/2024/H/48?4" TargetMode="External" /><Relationship Type="http://schemas.openxmlformats.org/officeDocument/2006/relationships/hyperlink" Id="rId21" Target="https://plus.cq.com/vote/2024/H/96?3" TargetMode="External" /><Relationship Type="http://schemas.openxmlformats.org/officeDocument/2006/relationships/hyperlink" Id="rId26" Target="https://www.congress.gov/bill/118th-congress/house-bill/7160/all-actions" TargetMode="External" /><Relationship Type="http://schemas.openxmlformats.org/officeDocument/2006/relationships/hyperlink" Id="rId22" Target="https://www.congress.gov/bill/118th-congress/house-resolution/987/all-actions" TargetMode="External" /><Relationship Type="http://schemas.openxmlformats.org/officeDocument/2006/relationships/hyperlink" Id="rId25" Target="https://www.congress.gov/bill/118th-congress/house-resolution/99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