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energy-efficiency"/>
    <w:p>
      <w:pPr>
        <w:pStyle w:val="Heading1"/>
      </w:pPr>
      <w:r>
        <w:t xml:space="preserve">Energy Efficiency</w:t>
      </w:r>
    </w:p>
    <w:bookmarkStart w:id="23" w:name="appliance-standards"/>
    <w:p>
      <w:pPr>
        <w:pStyle w:val="Heading3"/>
      </w:pPr>
      <w:r>
        <w:t xml:space="preserve">Appliance Standards</w:t>
      </w:r>
    </w:p>
    <w:p>
      <w:pPr>
        <w:pStyle w:val="FirstParagraph"/>
      </w:pPr>
      <w:r>
        <w:rPr>
          <w:bCs/>
          <w:b/>
        </w:rPr>
        <w:t xml:space="preserve">2025: Fitzpatrick Voted To Disapprove A Department Of Energy Rule That</w:t>
      </w:r>
      <w:r>
        <w:rPr>
          <w:bCs/>
          <w:b/>
        </w:rPr>
        <w:t xml:space="preserve"> </w:t>
      </w:r>
      <w:r>
        <w:rPr>
          <w:bCs/>
          <w:b/>
        </w:rPr>
        <w:t xml:space="preserve">Established Energy Efficiency Standards For Various Appliances.</w:t>
      </w:r>
      <w:r>
        <w:t xml:space="preserve"> </w:t>
      </w:r>
      <w:r>
        <w:t xml:space="preserve">In</w:t>
      </w:r>
      <w:r>
        <w:t xml:space="preserve"> </w:t>
      </w:r>
      <w:r>
        <w:t xml:space="preserve">March 2025, Fitzpatrick voted for 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joint resolution that would provide for congressional</w:t>
      </w:r>
      <w:r>
        <w:t xml:space="preserve"> </w:t>
      </w:r>
      <w:r>
        <w:t xml:space="preserve">disapproval of, and nullify, the Department of Energy’s final rule which</w:t>
      </w:r>
      <w:r>
        <w:t xml:space="preserve"> </w:t>
      </w:r>
      <w:r>
        <w:t xml:space="preserve">established new appliance energy efficiency certification reporting and</w:t>
      </w:r>
      <w:r>
        <w:t xml:space="preserve"> </w:t>
      </w:r>
      <w:r>
        <w:t xml:space="preserve">labeling requirements for dozens of products, including air</w:t>
      </w:r>
      <w:r>
        <w:t xml:space="preserve"> </w:t>
      </w:r>
      <w:r>
        <w:t xml:space="preserve">conditioners, heat pumps, pool equipment and walk-in freezers.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passage. The House passed the bill by a vote of 222 to 203.</w:t>
      </w:r>
      <w:r>
        <w:t xml:space="preserve"> </w:t>
      </w:r>
      <w:r>
        <w:t xml:space="preserve">[House Vote 59,</w:t>
      </w:r>
      <w:r>
        <w:t xml:space="preserve"> </w:t>
      </w:r>
      <w:hyperlink r:id="rId20">
        <w:r>
          <w:rPr>
            <w:rStyle w:val="Hyperlink"/>
          </w:rPr>
          <w:t xml:space="preserve">3/5/25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3/5/25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H.J.Res.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42</w:t>
        </w:r>
      </w:hyperlink>
      <w:r>
        <w:t xml:space="preserve">]</w:t>
      </w:r>
    </w:p>
    <w:bookmarkEnd w:id="23"/>
    <w:bookmarkStart w:id="27" w:name="home-energy-rebates"/>
    <w:p>
      <w:pPr>
        <w:pStyle w:val="Heading3"/>
      </w:pPr>
      <w:r>
        <w:t xml:space="preserve">Home Energy Rebates</w:t>
      </w:r>
    </w:p>
    <w:p>
      <w:pPr>
        <w:pStyle w:val="FirstParagraph"/>
      </w:pPr>
      <w:r>
        <w:rPr>
          <w:bCs/>
          <w:b/>
        </w:rPr>
        <w:t xml:space="preserve">2022: Fitzpatrick Voted Against Providing $9 Billion For Energy</w:t>
      </w:r>
      <w:r>
        <w:rPr>
          <w:bCs/>
          <w:b/>
        </w:rPr>
        <w:t xml:space="preserve"> </w:t>
      </w:r>
      <w:r>
        <w:rPr>
          <w:bCs/>
          <w:b/>
        </w:rPr>
        <w:t xml:space="preserve">Efficiency Improvement Rebates For Home Residences.</w:t>
      </w:r>
      <w:r>
        <w:t xml:space="preserve"> </w:t>
      </w:r>
      <w:r>
        <w:t xml:space="preserve">In August 2022,</w:t>
      </w:r>
      <w:r>
        <w:t xml:space="preserve"> </w:t>
      </w:r>
      <w:r>
        <w:t xml:space="preserve">according to Congressional Quarterly, Fitzpatrick voted against</w:t>
      </w:r>
      <w:r>
        <w:t xml:space="preserve"> </w:t>
      </w:r>
      <w:r>
        <w:t xml:space="preserve">concurring in the Senate amendment to the Inflation Reduction Act of</w:t>
      </w:r>
      <w:r>
        <w:t xml:space="preserve"> </w:t>
      </w:r>
      <w:r>
        <w:t xml:space="preserve">2022, which would</w:t>
      </w:r>
      <w:r>
        <w:t xml:space="preserve"> </w:t>
      </w:r>
      <w:r>
        <w:t xml:space="preserve">“</w:t>
      </w:r>
      <w:r>
        <w:t xml:space="preserve">provide $9 billion for residential energy efficiency</w:t>
      </w:r>
      <w:r>
        <w:t xml:space="preserve"> </w:t>
      </w:r>
      <w:r>
        <w:t xml:space="preserve">improvement rebates.</w:t>
      </w:r>
      <w:r>
        <w:t xml:space="preserve">”</w:t>
      </w:r>
      <w:r>
        <w:t xml:space="preserve"> </w:t>
      </w:r>
      <w:r>
        <w:t xml:space="preserve">The vote was on a motion to concur. The House</w:t>
      </w:r>
      <w:r>
        <w:t xml:space="preserve"> </w:t>
      </w:r>
      <w:r>
        <w:t xml:space="preserve">concurred with the Senate by a vote 220-207, thus the bill was sent to</w:t>
      </w:r>
      <w:r>
        <w:t xml:space="preserve"> </w:t>
      </w:r>
      <w:r>
        <w:t xml:space="preserve">President Biden for final signage. President Biden signed the bill and</w:t>
      </w:r>
      <w:r>
        <w:t xml:space="preserve"> </w:t>
      </w:r>
      <w:r>
        <w:t xml:space="preserve">it ultimately became law. [House Vote 420,</w:t>
      </w:r>
      <w:r>
        <w:t xml:space="preserve"> </w:t>
      </w:r>
      <w:hyperlink r:id="rId24">
        <w:r>
          <w:rPr>
            <w:rStyle w:val="Hyperlink"/>
          </w:rPr>
          <w:t xml:space="preserve">8/12/22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8/12/22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5376</w:t>
        </w:r>
      </w:hyperlink>
      <w:r>
        <w:t xml:space="preserve">]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clerk.house.gov/evs/2022/roll420.xml" TargetMode="External" /><Relationship Type="http://schemas.openxmlformats.org/officeDocument/2006/relationships/hyperlink" Id="rId20" Target="http://clerk.house.gov/evs/2025/roll059.xml" TargetMode="External" /><Relationship Type="http://schemas.openxmlformats.org/officeDocument/2006/relationships/hyperlink" Id="rId25" Target="https://plus.cq.com/vote/2022/H/420?6" TargetMode="External" /><Relationship Type="http://schemas.openxmlformats.org/officeDocument/2006/relationships/hyperlink" Id="rId21" Target="https://plus.cq.com/vote/2025/H/59?4" TargetMode="External" /><Relationship Type="http://schemas.openxmlformats.org/officeDocument/2006/relationships/hyperlink" Id="rId26" Target="https://www.congress.gov/bill/117th-congress/house-bill/5376/actions" TargetMode="External" /><Relationship Type="http://schemas.openxmlformats.org/officeDocument/2006/relationships/hyperlink" Id="rId22" Target="https://www.congress.gov/bill/119th-congress/house-joint-resolution/42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clerk.house.gov/evs/2022/roll420.xml" TargetMode="External" /><Relationship Type="http://schemas.openxmlformats.org/officeDocument/2006/relationships/hyperlink" Id="rId20" Target="http://clerk.house.gov/evs/2025/roll059.xml" TargetMode="External" /><Relationship Type="http://schemas.openxmlformats.org/officeDocument/2006/relationships/hyperlink" Id="rId25" Target="https://plus.cq.com/vote/2022/H/420?6" TargetMode="External" /><Relationship Type="http://schemas.openxmlformats.org/officeDocument/2006/relationships/hyperlink" Id="rId21" Target="https://plus.cq.com/vote/2025/H/59?4" TargetMode="External" /><Relationship Type="http://schemas.openxmlformats.org/officeDocument/2006/relationships/hyperlink" Id="rId26" Target="https://www.congress.gov/bill/117th-congress/house-bill/5376/actions" TargetMode="External" /><Relationship Type="http://schemas.openxmlformats.org/officeDocument/2006/relationships/hyperlink" Id="rId22" Target="https://www.congress.gov/bill/119th-congress/house-joint-resolution/42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2026-01-27T02:08:47Z</dcterms:created>
  <dcterms:modified xsi:type="dcterms:W3CDTF">2026-01-27T02:08:47Z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