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ritical-minerals"/>
    <w:p>
      <w:pPr>
        <w:pStyle w:val="Heading1"/>
      </w:pPr>
      <w:r>
        <w:t xml:space="preserve">Critical Minerals</w:t>
      </w:r>
    </w:p>
    <w:bookmarkStart w:id="24" w:name="Xd3b52306482a7c70536a1db06c091b1bc648727"/>
    <w:p>
      <w:pPr>
        <w:pStyle w:val="Heading3"/>
      </w:pPr>
      <w:r>
        <w:t xml:space="preserve">Increasing Mining And Waiving Pollution Regulations</w:t>
      </w:r>
    </w:p>
    <w:p>
      <w:pPr>
        <w:pStyle w:val="FirstParagraph"/>
      </w:pPr>
      <w:r>
        <w:rPr>
          <w:bCs/>
          <w:b/>
        </w:rPr>
        <w:t xml:space="preserve">2023: Fitzpatrick Voted Against Boosting Domestic Critical Mineral</w:t>
      </w:r>
      <w:r>
        <w:rPr>
          <w:bCs/>
          <w:b/>
        </w:rPr>
        <w:t xml:space="preserve"> </w:t>
      </w:r>
      <w:r>
        <w:rPr>
          <w:bCs/>
          <w:b/>
        </w:rPr>
        <w:t xml:space="preserve">Supplies Through Increased Mining And By Allowing The EPA To Temporarily</w:t>
      </w:r>
      <w:r>
        <w:rPr>
          <w:bCs/>
          <w:b/>
        </w:rPr>
        <w:t xml:space="preserve"> </w:t>
      </w:r>
      <w:r>
        <w:rPr>
          <w:bCs/>
          <w:b/>
        </w:rPr>
        <w:t xml:space="preserve">Waive Certain Pollution Regulations At Certain Critical Energy Resource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against the Lower Energy Costs Act, which,</w:t>
      </w:r>
      <w:r>
        <w:t xml:space="preserve"> </w:t>
      </w:r>
      <w:r>
        <w:t xml:space="preserve">“</w:t>
      </w:r>
      <w:r>
        <w:t xml:space="preserve">To address</w:t>
      </w:r>
      <w:r>
        <w:t xml:space="preserve"> </w:t>
      </w:r>
      <w:r>
        <w:t xml:space="preserve">critical mineral supply, the bill would require the Energy Department to</w:t>
      </w:r>
      <w:r>
        <w:t xml:space="preserve"> </w:t>
      </w:r>
      <w:r>
        <w:t xml:space="preserve">conduct ongoing assessments of and develop strategies to strengthen</w:t>
      </w:r>
      <w:r>
        <w:t xml:space="preserve"> </w:t>
      </w:r>
      <w:r>
        <w:t xml:space="preserve">domestic supply chains for critical energy resources, including through</w:t>
      </w:r>
      <w:r>
        <w:t xml:space="preserve"> </w:t>
      </w:r>
      <w:r>
        <w:t xml:space="preserve">increased mining and processing and permit the EPA to temporarily waive</w:t>
      </w:r>
      <w:r>
        <w:t xml:space="preserve"> </w:t>
      </w:r>
      <w:r>
        <w:t xml:space="preserve">certain pollution regulation requirements for processing and refining</w:t>
      </w:r>
      <w:r>
        <w:t xml:space="preserve"> </w:t>
      </w:r>
      <w:r>
        <w:t xml:space="preserve">projects at critical energy resource facilities to address supply chain</w:t>
      </w:r>
      <w:r>
        <w:t xml:space="preserve"> </w:t>
      </w:r>
      <w:r>
        <w:t xml:space="preserve">concerns. It would make coal and critical mineral mining projects</w:t>
      </w:r>
      <w:r>
        <w:t xml:space="preserve"> </w:t>
      </w:r>
      <w:r>
        <w:t xml:space="preserve">eligible for certain expedited infrastructure permitting processes;</w:t>
      </w:r>
      <w:r>
        <w:t xml:space="preserve"> </w:t>
      </w:r>
      <w:r>
        <w:t xml:space="preserve">provide for appointment of a lead agency to coordinate the permitting</w:t>
      </w:r>
      <w:r>
        <w:t xml:space="preserve"> </w:t>
      </w:r>
      <w:r>
        <w:t xml:space="preserve">process for mineral exploration; and limit the withdrawal of federal</w:t>
      </w:r>
      <w:r>
        <w:t xml:space="preserve"> </w:t>
      </w:r>
      <w:r>
        <w:t xml:space="preserve">lands and waters from mineral leasing.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225 to 204, thus the bill was sent to</w:t>
      </w:r>
      <w:r>
        <w:t xml:space="preserve"> </w:t>
      </w:r>
      <w:r>
        <w:t xml:space="preserve">the Senate for their consideration. [House Vote 182,</w:t>
      </w:r>
      <w:r>
        <w:t xml:space="preserve"> </w:t>
      </w:r>
      <w:hyperlink r:id="rId20">
        <w:r>
          <w:rPr>
            <w:rStyle w:val="Hyperlink"/>
          </w:rPr>
          <w:t xml:space="preserve">3/30/23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3/30/23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Passed After The Intergovernmental Panel On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 Urged Action To Swiftly Reduce Greenhouse Gas Emissions And</w:t>
      </w:r>
      <w:r>
        <w:rPr>
          <w:bCs/>
          <w:b/>
        </w:rPr>
        <w:t xml:space="preserve"> </w:t>
      </w:r>
      <w:r>
        <w:rPr>
          <w:bCs/>
          <w:b/>
        </w:rPr>
        <w:t xml:space="preserve">End Burning Fossil Fuels To Prevent Catastrophic Climate Change.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Passage comes a little more</w:t>
      </w:r>
      <w:r>
        <w:t xml:space="preserve"> </w:t>
      </w:r>
      <w:r>
        <w:t xml:space="preserve">than a week after the Intergovernmental Panel on Climate Change, the</w:t>
      </w:r>
      <w:r>
        <w:t xml:space="preserve"> </w:t>
      </w:r>
      <w:r>
        <w:t xml:space="preserve">world’s leading body of climate scientists, warned humanity must</w:t>
      </w:r>
      <w:r>
        <w:t xml:space="preserve"> </w:t>
      </w:r>
      <w:r>
        <w:t xml:space="preserve">work swiftly to slash greenhouse gas emissions and stop burning</w:t>
      </w:r>
      <w:r>
        <w:t xml:space="preserve"> </w:t>
      </w:r>
      <w:r>
        <w:t xml:space="preserve">fossil fuels to avert catastrophic rapid climate change.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3/30/23</w:t>
        </w:r>
      </w:hyperlink>
      <w:r>
        <w:t xml:space="preserve">]</w:t>
      </w:r>
    </w:p>
    <w:bookmarkEnd w:id="24"/>
    <w:bookmarkStart w:id="28" w:name="list-expansion"/>
    <w:p>
      <w:pPr>
        <w:pStyle w:val="Heading3"/>
      </w:pPr>
      <w:r>
        <w:t xml:space="preserve">List Expansion</w:t>
      </w:r>
    </w:p>
    <w:p>
      <w:pPr>
        <w:pStyle w:val="FirstParagraph"/>
      </w:pPr>
      <w:r>
        <w:rPr>
          <w:bCs/>
          <w:b/>
        </w:rPr>
        <w:t xml:space="preserve">2024: Fitzpatrick Voted To Expand The U.S. Geological Survey’s List Of</w:t>
      </w:r>
      <w:r>
        <w:rPr>
          <w:bCs/>
          <w:b/>
        </w:rPr>
        <w:t xml:space="preserve"> </w:t>
      </w:r>
      <w:r>
        <w:rPr>
          <w:bCs/>
          <w:b/>
        </w:rPr>
        <w:t xml:space="preserve">Critical Minerals.</w:t>
      </w:r>
      <w:r>
        <w:t xml:space="preserve"> </w:t>
      </w:r>
      <w:r>
        <w:t xml:space="preserve">In November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that would amend the Energy Act of</w:t>
      </w:r>
      <w:r>
        <w:t xml:space="preserve"> </w:t>
      </w:r>
      <w:r>
        <w:t xml:space="preserve">2020 to include critical materials in the definition of critical</w:t>
      </w:r>
      <w:r>
        <w:t xml:space="preserve"> </w:t>
      </w:r>
      <w:r>
        <w:t xml:space="preserve">minerals. The bill would place onto the U.S. Geological Survey's list</w:t>
      </w:r>
      <w:r>
        <w:t xml:space="preserve"> </w:t>
      </w:r>
      <w:r>
        <w:t xml:space="preserve">of critical minerals, any non-fuel mineral, element, substance or</w:t>
      </w:r>
      <w:r>
        <w:t xml:space="preserve"> </w:t>
      </w:r>
      <w:r>
        <w:t xml:space="preserve">material deemed to be a critical material by the Energy Department.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245 to 155.</w:t>
      </w:r>
      <w:r>
        <w:t xml:space="preserve"> </w:t>
      </w:r>
      <w:r>
        <w:t xml:space="preserve">[House Vote 462,</w:t>
      </w:r>
      <w:r>
        <w:t xml:space="preserve"> </w:t>
      </w:r>
      <w:hyperlink r:id="rId25">
        <w:r>
          <w:rPr>
            <w:rStyle w:val="Hyperlink"/>
          </w:rPr>
          <w:t xml:space="preserve">11/14/24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11/14/24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8446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82.xml" TargetMode="External" /><Relationship Type="http://schemas.openxmlformats.org/officeDocument/2006/relationships/hyperlink" Id="rId25" Target="http://clerk.house.gov/evs/2024/roll462.xml" TargetMode="External" /><Relationship Type="http://schemas.openxmlformats.org/officeDocument/2006/relationships/hyperlink" Id="rId23" Target="https://plus.cq.com/doc/news-7703192?5" TargetMode="External" /><Relationship Type="http://schemas.openxmlformats.org/officeDocument/2006/relationships/hyperlink" Id="rId21" Target="https://plus.cq.com/vote/2023/H/182?5" TargetMode="External" /><Relationship Type="http://schemas.openxmlformats.org/officeDocument/2006/relationships/hyperlink" Id="rId26" Target="https://plus.cq.com/vote/2024/H/462?4" TargetMode="External" /><Relationship Type="http://schemas.openxmlformats.org/officeDocument/2006/relationships/hyperlink" Id="rId22" Target="https://www.congress.gov/bill/118th-congress/house-bill/1/all-actions" TargetMode="External" /><Relationship Type="http://schemas.openxmlformats.org/officeDocument/2006/relationships/hyperlink" Id="rId27" Target="https://www.congress.gov/bill/118th-congress/house-bill/844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82.xml" TargetMode="External" /><Relationship Type="http://schemas.openxmlformats.org/officeDocument/2006/relationships/hyperlink" Id="rId25" Target="http://clerk.house.gov/evs/2024/roll462.xml" TargetMode="External" /><Relationship Type="http://schemas.openxmlformats.org/officeDocument/2006/relationships/hyperlink" Id="rId23" Target="https://plus.cq.com/doc/news-7703192?5" TargetMode="External" /><Relationship Type="http://schemas.openxmlformats.org/officeDocument/2006/relationships/hyperlink" Id="rId21" Target="https://plus.cq.com/vote/2023/H/182?5" TargetMode="External" /><Relationship Type="http://schemas.openxmlformats.org/officeDocument/2006/relationships/hyperlink" Id="rId26" Target="https://plus.cq.com/vote/2024/H/462?4" TargetMode="External" /><Relationship Type="http://schemas.openxmlformats.org/officeDocument/2006/relationships/hyperlink" Id="rId22" Target="https://www.congress.gov/bill/118th-congress/house-bill/1/all-actions" TargetMode="External" /><Relationship Type="http://schemas.openxmlformats.org/officeDocument/2006/relationships/hyperlink" Id="rId27" Target="https://www.congress.gov/bill/118th-congress/house-bill/844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