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iodiesel"/>
    <w:p>
      <w:pPr>
        <w:pStyle w:val="Heading1"/>
      </w:pPr>
      <w:r>
        <w:t xml:space="preserve">Biodiesel</w:t>
      </w:r>
    </w:p>
    <w:bookmarkStart w:id="23" w:name="diesel-emissions-reduction"/>
    <w:p>
      <w:pPr>
        <w:pStyle w:val="Heading3"/>
      </w:pPr>
      <w:r>
        <w:t xml:space="preserve">Diesel Emissions Reduction</w:t>
      </w:r>
    </w:p>
    <w:p>
      <w:pPr>
        <w:pStyle w:val="FirstParagraph"/>
      </w:pPr>
      <w:r>
        <w:rPr>
          <w:bCs/>
          <w:b/>
        </w:rPr>
        <w:t xml:space="preserve">2019: Fitzpatrick Voted For Reauthorizing The Diesel Emissions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Act.</w:t>
      </w:r>
      <w:r>
        <w:t xml:space="preserve"> </w:t>
      </w:r>
      <w:r>
        <w:t xml:space="preserve">In September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reauthorize $100 million</w:t>
      </w:r>
      <w:r>
        <w:t xml:space="preserve"> </w:t>
      </w:r>
      <w:r>
        <w:t xml:space="preserve">annually through fiscal 2024 for EPA programs under the Diesel Emissions</w:t>
      </w:r>
      <w:r>
        <w:t xml:space="preserve"> </w:t>
      </w:r>
      <w:r>
        <w:t xml:space="preserve">Reduction Act that provide grants and loans to retrofit diesel vehicles</w:t>
      </w:r>
      <w:r>
        <w:t xml:space="preserve"> </w:t>
      </w:r>
      <w:r>
        <w:t xml:space="preserve">to meet emission standards.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passed the bill by a vote of 295-114.</w:t>
      </w:r>
      <w:r>
        <w:t xml:space="preserve"> </w:t>
      </w:r>
      <w:r>
        <w:t xml:space="preserve">[House Vote 516,</w:t>
      </w:r>
      <w:r>
        <w:t xml:space="preserve"> </w:t>
      </w:r>
      <w:hyperlink r:id="rId20">
        <w:r>
          <w:rPr>
            <w:rStyle w:val="Hyperlink"/>
          </w:rPr>
          <w:t xml:space="preserve">9/9/19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9/9/19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H.R.1768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516.xml" TargetMode="External" /><Relationship Type="http://schemas.openxmlformats.org/officeDocument/2006/relationships/hyperlink" Id="rId21" Target="https://plus.cq.com/vote/2019/H/516?1" TargetMode="External" /><Relationship Type="http://schemas.openxmlformats.org/officeDocument/2006/relationships/hyperlink" Id="rId22" Target="https://www.congress.gov/bill/116th-congress/house-bill/1768/all-actions?q=%7b%22search%22%3A%5B%22hr+1768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516.xml" TargetMode="External" /><Relationship Type="http://schemas.openxmlformats.org/officeDocument/2006/relationships/hyperlink" Id="rId21" Target="https://plus.cq.com/vote/2019/H/516?1" TargetMode="External" /><Relationship Type="http://schemas.openxmlformats.org/officeDocument/2006/relationships/hyperlink" Id="rId22" Target="https://www.congress.gov/bill/116th-congress/house-bill/1768/all-actions?q=%7b%22search%22%3A%5B%22hr+1768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