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ndowment"/>
    <w:p>
      <w:pPr>
        <w:pStyle w:val="Heading1"/>
      </w:pPr>
      <w:r>
        <w:t xml:space="preserve">Endowment</w:t>
      </w:r>
    </w:p>
    <w:bookmarkStart w:id="23" w:name="taxes"/>
    <w:p>
      <w:pPr>
        <w:pStyle w:val="Heading3"/>
      </w:pPr>
      <w:r>
        <w:t xml:space="preserve">Taxes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Instituted A</w:t>
      </w:r>
      <w:r>
        <w:rPr>
          <w:bCs/>
          <w:b/>
        </w:rPr>
        <w:t xml:space="preserve"> </w:t>
      </w:r>
      <w:r>
        <w:rPr>
          <w:bCs/>
          <w:b/>
        </w:rPr>
        <w:t xml:space="preserve">1.4% Tax On Private College Endowments.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Taxes College Endowments That Have A Value Of</w:t>
      </w:r>
      <w:r>
        <w:rPr>
          <w:bCs/>
          <w:b/>
        </w:rPr>
        <w:t xml:space="preserve"> </w:t>
      </w:r>
      <w:r>
        <w:rPr>
          <w:bCs/>
          <w:b/>
        </w:rPr>
        <w:t xml:space="preserve">$250,000 Per Full Time Student.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imposes a 1.4% excise tax on the net</w:t>
      </w:r>
      <w:r>
        <w:t xml:space="preserve"> </w:t>
      </w:r>
      <w:r>
        <w:t xml:space="preserve">investment income of private colleges and universities that have at</w:t>
      </w:r>
      <w:r>
        <w:t xml:space="preserve"> </w:t>
      </w:r>
      <w:r>
        <w:t xml:space="preserve">least 500 students and assets valued at the close of the preceding</w:t>
      </w:r>
      <w:r>
        <w:t xml:space="preserve"> </w:t>
      </w:r>
      <w:r>
        <w:t xml:space="preserve">tax year of at least $250,000 per full-time student. Assets</w:t>
      </w:r>
      <w:r>
        <w:t xml:space="preserve"> </w:t>
      </w:r>
      <w:r>
        <w:t xml:space="preserve">calculated for that determination would exclude those assets used</w:t>
      </w:r>
      <w:r>
        <w:t xml:space="preserve"> </w:t>
      </w:r>
      <w:r>
        <w:t xml:space="preserve">directly in carrying out the institution’s educational 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