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forest-service"/>
    <w:p>
      <w:pPr>
        <w:pStyle w:val="Heading1"/>
      </w:pPr>
      <w:r>
        <w:t xml:space="preserve">Forest Service</w:t>
      </w:r>
    </w:p>
    <w:bookmarkStart w:id="23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2022: Fitzpatrick Voted To Authorize $3.97 Billion Annually For</w:t>
      </w:r>
      <w:r>
        <w:rPr>
          <w:bCs/>
          <w:b/>
        </w:rPr>
        <w:t xml:space="preserve"> </w:t>
      </w:r>
      <w:r>
        <w:rPr>
          <w:bCs/>
          <w:b/>
        </w:rPr>
        <w:t xml:space="preserve">Forest Service Employee Salaries And Costs, Including $1.6 Billion For</w:t>
      </w:r>
      <w:r>
        <w:rPr>
          <w:bCs/>
          <w:b/>
        </w:rPr>
        <w:t xml:space="preserve"> </w:t>
      </w:r>
      <w:r>
        <w:rPr>
          <w:bCs/>
          <w:b/>
        </w:rPr>
        <w:t xml:space="preserve">Wildfire Management Jobs.</w:t>
      </w:r>
      <w:r>
        <w:t xml:space="preserve"> </w:t>
      </w:r>
      <w:r>
        <w:t xml:space="preserve">In July 2022, according to Congressional</w:t>
      </w:r>
      <w:r>
        <w:t xml:space="preserve"> </w:t>
      </w:r>
      <w:r>
        <w:t xml:space="preserve">Quarterly, Fitzpatrick voted for the Continental Divide Trail Completion</w:t>
      </w:r>
      <w:r>
        <w:t xml:space="preserve"> </w:t>
      </w:r>
      <w:r>
        <w:t xml:space="preserve">Act, which would</w:t>
      </w:r>
      <w:r>
        <w:t xml:space="preserve"> </w:t>
      </w:r>
      <w:r>
        <w:t xml:space="preserve">“</w:t>
      </w:r>
      <w:r>
        <w:t xml:space="preserve">authorize $3.97 billion annually for Forest Service</w:t>
      </w:r>
      <w:r>
        <w:t xml:space="preserve"> </w:t>
      </w:r>
      <w:r>
        <w:t xml:space="preserve">employee salaries and expenses, including $1.6 billion for wildfire</w:t>
      </w:r>
      <w:r>
        <w:t xml:space="preserve"> </w:t>
      </w:r>
      <w:r>
        <w:t xml:space="preserve">management positions.</w:t>
      </w:r>
      <w:r>
        <w:t xml:space="preserve">”</w:t>
      </w:r>
      <w:r>
        <w:t xml:space="preserve"> </w:t>
      </w:r>
      <w:r>
        <w:t xml:space="preserve">The vote was on passage. The House passed the</w:t>
      </w:r>
      <w:r>
        <w:t xml:space="preserve"> </w:t>
      </w:r>
      <w:r>
        <w:t xml:space="preserve">bill by a vote of 218-199, thus the bill was sent to the Senate. The</w:t>
      </w:r>
      <w:r>
        <w:t xml:space="preserve"> </w:t>
      </w:r>
      <w:r>
        <w:t xml:space="preserve">Senate did not take substantive action on the bill. [House Vote 414,</w:t>
      </w:r>
      <w:r>
        <w:t xml:space="preserve"> </w:t>
      </w:r>
      <w:hyperlink r:id="rId20">
        <w:r>
          <w:rPr>
            <w:rStyle w:val="Hyperlink"/>
          </w:rPr>
          <w:t xml:space="preserve">7/29/22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7/29/22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5118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414.xml" TargetMode="External" /><Relationship Type="http://schemas.openxmlformats.org/officeDocument/2006/relationships/hyperlink" Id="rId21" Target="https://plus.cq.com/vote/2022/H/414?5" TargetMode="External" /><Relationship Type="http://schemas.openxmlformats.org/officeDocument/2006/relationships/hyperlink" Id="rId22" Target="https://www.congress.gov/bill/117th-congress/house-bill/5118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414.xml" TargetMode="External" /><Relationship Type="http://schemas.openxmlformats.org/officeDocument/2006/relationships/hyperlink" Id="rId21" Target="https://plus.cq.com/vote/2022/H/414?5" TargetMode="External" /><Relationship Type="http://schemas.openxmlformats.org/officeDocument/2006/relationships/hyperlink" Id="rId22" Target="https://www.congress.gov/bill/117th-congress/house-bill/5118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2026-01-27T02:08:44Z</dcterms:created>
  <dcterms:modified xsi:type="dcterms:W3CDTF">2026-01-27T02:08:44Z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