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issiles"/>
    <w:p>
      <w:pPr>
        <w:pStyle w:val="Heading1"/>
      </w:pPr>
      <w:r>
        <w:t xml:space="preserve">Missiles</w:t>
      </w:r>
    </w:p>
    <w:bookmarkStart w:id="24" w:name="X9e5747a490113eba90ae352023d49ad8faa5aa8"/>
    <w:p>
      <w:pPr>
        <w:pStyle w:val="Heading3"/>
      </w:pPr>
      <w:r>
        <w:t xml:space="preserve">Intercontinental Ballistic Missile Reduction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 To The Total Number Of Nuclear Armed Intercontinental</w:t>
      </w:r>
      <w:r>
        <w:rPr>
          <w:bCs/>
          <w:b/>
        </w:rPr>
        <w:t xml:space="preserve"> </w:t>
      </w:r>
      <w:r>
        <w:rPr>
          <w:bCs/>
          <w:b/>
        </w:rPr>
        <w:t xml:space="preserve">Ballistic Missiles From The U.S.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strike the prohibition on the reduction of the total number of nuclear</w:t>
      </w:r>
      <w:r>
        <w:t xml:space="preserve"> </w:t>
      </w:r>
      <w:r>
        <w:t xml:space="preserve">armed Intercontinental Ballistic Missiles deployed in the United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156-270. [House Vote 322,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Start w:id="28" w:name="X91a15db6cd540afccd4326ddd7ed4d03e19dbde"/>
    <w:p>
      <w:pPr>
        <w:pStyle w:val="Heading3"/>
      </w:pPr>
      <w:r>
        <w:t xml:space="preserve">Preventing Sentinel Nuclear Missile Development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Prevented</w:t>
      </w:r>
      <w:r>
        <w:rPr>
          <w:bCs/>
          <w:b/>
        </w:rPr>
        <w:t xml:space="preserve"> </w:t>
      </w:r>
      <w:r>
        <w:rPr>
          <w:bCs/>
          <w:b/>
        </w:rPr>
        <w:t xml:space="preserve">Testing And Development Of The New Sentinel (GBSD) Nuclear Missile And</w:t>
      </w:r>
      <w:r>
        <w:rPr>
          <w:bCs/>
          <w:b/>
        </w:rPr>
        <w:t xml:space="preserve"> </w:t>
      </w:r>
      <w:r>
        <w:rPr>
          <w:bCs/>
          <w:b/>
        </w:rPr>
        <w:t xml:space="preserve">Instead Extended The Minuteman III Intercontinental Ballistic Missiles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2040.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prevent testing and</w:t>
      </w:r>
      <w:r>
        <w:t xml:space="preserve"> </w:t>
      </w:r>
      <w:r>
        <w:t xml:space="preserve">development of the new Sentinel (GBSD) nuclear missile and instead</w:t>
      </w:r>
      <w:r>
        <w:t xml:space="preserve"> </w:t>
      </w:r>
      <w:r>
        <w:t xml:space="preserve">extend the existing Minuteman III Intercontinental Ballistic Missiles</w:t>
      </w:r>
      <w:r>
        <w:t xml:space="preserve"> </w:t>
      </w:r>
      <w:r>
        <w:t xml:space="preserve">through at least 2040.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rejected the amendment by a vote 118-309. [House Vote 321,</w:t>
      </w:r>
      <w:r>
        <w:t xml:space="preserve"> </w:t>
      </w:r>
      <w:hyperlink r:id="rId25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2/roll321.xml" TargetMode="External" /><Relationship Type="http://schemas.openxmlformats.org/officeDocument/2006/relationships/hyperlink" Id="rId20" Target="http://clerk.house.gov/evs/2022/roll322.xml" TargetMode="External" /><Relationship Type="http://schemas.openxmlformats.org/officeDocument/2006/relationships/hyperlink" Id="rId26" Target="https://plus.cq.com/vote/2022/H/321?2" TargetMode="External" /><Relationship Type="http://schemas.openxmlformats.org/officeDocument/2006/relationships/hyperlink" Id="rId21" Target="https://plus.cq.com/vote/2022/H/322?4" TargetMode="External" /><Relationship Type="http://schemas.openxmlformats.org/officeDocument/2006/relationships/hyperlink" Id="rId27" Target="https://www.congress.gov/amendment/117th-congress/house-amendment/258/actions?s=a&amp;r=29" TargetMode="External" /><Relationship Type="http://schemas.openxmlformats.org/officeDocument/2006/relationships/hyperlink" Id="rId22" Target="https://www.congress.gov/amendment/117th-congress/house-amendment/259/actions?s=a&amp;r=2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2/roll321.xml" TargetMode="External" /><Relationship Type="http://schemas.openxmlformats.org/officeDocument/2006/relationships/hyperlink" Id="rId20" Target="http://clerk.house.gov/evs/2022/roll322.xml" TargetMode="External" /><Relationship Type="http://schemas.openxmlformats.org/officeDocument/2006/relationships/hyperlink" Id="rId26" Target="https://plus.cq.com/vote/2022/H/321?2" TargetMode="External" /><Relationship Type="http://schemas.openxmlformats.org/officeDocument/2006/relationships/hyperlink" Id="rId21" Target="https://plus.cq.com/vote/2022/H/322?4" TargetMode="External" /><Relationship Type="http://schemas.openxmlformats.org/officeDocument/2006/relationships/hyperlink" Id="rId27" Target="https://www.congress.gov/amendment/117th-congress/house-amendment/258/actions?s=a&amp;r=29" TargetMode="External" /><Relationship Type="http://schemas.openxmlformats.org/officeDocument/2006/relationships/hyperlink" Id="rId22" Target="https://www.congress.gov/amendment/117th-congress/house-amendment/259/actions?s=a&amp;r=2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