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prisoners"/>
    <w:p>
      <w:pPr>
        <w:pStyle w:val="Heading1"/>
      </w:pPr>
      <w:r>
        <w:t xml:space="preserve">Prisoners</w:t>
      </w:r>
    </w:p>
    <w:bookmarkStart w:id="24" w:name="indigenous-women"/>
    <w:p>
      <w:pPr>
        <w:pStyle w:val="Heading3"/>
      </w:pPr>
      <w:r>
        <w:t xml:space="preserve">Indigenous Women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Direct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Justice To Support Services Directed Towards Indigenous</w:t>
      </w:r>
      <w:r>
        <w:rPr>
          <w:bCs/>
          <w:b/>
        </w:rPr>
        <w:t xml:space="preserve"> </w:t>
      </w:r>
      <w:r>
        <w:rPr>
          <w:bCs/>
          <w:b/>
        </w:rPr>
        <w:t xml:space="preserve">Women When Addressing Reentry Planning And Services For Imprisoned</w:t>
      </w:r>
      <w:r>
        <w:rPr>
          <w:bCs/>
          <w:b/>
        </w:rPr>
        <w:t xml:space="preserve"> </w:t>
      </w:r>
      <w:r>
        <w:rPr>
          <w:bCs/>
          <w:b/>
        </w:rPr>
        <w:t xml:space="preserve">Women.</w:t>
      </w:r>
      <w:r>
        <w:t xml:space="preserve"> </w:t>
      </w:r>
      <w:r>
        <w:t xml:space="preserve">In March 2021, Fitzpatrick voted for en bloc amendments no.1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require the Justice</w:t>
      </w:r>
      <w:r>
        <w:t xml:space="preserve"> </w:t>
      </w:r>
      <w:r>
        <w:t xml:space="preserve">Department to include support services tailored to the needs of</w:t>
      </w:r>
      <w:r>
        <w:t xml:space="preserve"> </w:t>
      </w:r>
      <w:r>
        <w:t xml:space="preserve">Indigenous women in a plan addressing reentry planning and services for</w:t>
      </w:r>
      <w:r>
        <w:t xml:space="preserve"> </w:t>
      </w:r>
      <w:r>
        <w:t xml:space="preserve">incarcerated women.</w:t>
      </w:r>
      <w:r>
        <w:t xml:space="preserve">”</w:t>
      </w:r>
      <w:r>
        <w:t xml:space="preserve"> </w:t>
      </w:r>
      <w:r>
        <w:t xml:space="preserve">The vote was on the adoption of amendments. The</w:t>
      </w:r>
      <w:r>
        <w:t xml:space="preserve"> </w:t>
      </w:r>
      <w:r>
        <w:t xml:space="preserve">House adopted the amendments by a vote of 228-197. [House Vote 83,</w:t>
      </w:r>
      <w:r>
        <w:t xml:space="preserve"> </w:t>
      </w:r>
      <w:hyperlink r:id="rId20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83.xml" TargetMode="External" /><Relationship Type="http://schemas.openxmlformats.org/officeDocument/2006/relationships/hyperlink" Id="rId21" Target="https://plus.cq.com/vote/2021/H/83?12" TargetMode="External" /><Relationship Type="http://schemas.openxmlformats.org/officeDocument/2006/relationships/hyperlink" Id="rId22" Target="https://www.congress.gov/amendment/117th-congress/house-amendment/31/actions?r=3&amp;s=a" TargetMode="External" /><Relationship Type="http://schemas.openxmlformats.org/officeDocument/2006/relationships/hyperlink" Id="rId23" Target="https://www.congress.gov/bill/117th-congress/house-bill/162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83.xml" TargetMode="External" /><Relationship Type="http://schemas.openxmlformats.org/officeDocument/2006/relationships/hyperlink" Id="rId21" Target="https://plus.cq.com/vote/2021/H/83?12" TargetMode="External" /><Relationship Type="http://schemas.openxmlformats.org/officeDocument/2006/relationships/hyperlink" Id="rId22" Target="https://www.congress.gov/amendment/117th-congress/house-amendment/31/actions?r=3&amp;s=a" TargetMode="External" /><Relationship Type="http://schemas.openxmlformats.org/officeDocument/2006/relationships/hyperlink" Id="rId23" Target="https://www.congress.gov/bill/117th-congress/house-bill/162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