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prison-sentences"/>
    <w:p>
      <w:pPr>
        <w:pStyle w:val="Heading1"/>
      </w:pPr>
      <w:r>
        <w:t xml:space="preserve">Prison Sentences</w:t>
      </w:r>
    </w:p>
    <w:bookmarkStart w:id="23" w:name="crack-cocaine-sentence-reduction"/>
    <w:p>
      <w:pPr>
        <w:pStyle w:val="Heading3"/>
      </w:pPr>
      <w:r>
        <w:t xml:space="preserve">Crack Cocaine Sentence Reduction</w:t>
      </w:r>
    </w:p>
    <w:p>
      <w:pPr>
        <w:pStyle w:val="FirstParagraph"/>
      </w:pPr>
      <w:r>
        <w:rPr>
          <w:bCs/>
          <w:b/>
        </w:rPr>
        <w:t xml:space="preserve">2022: Fitzpatrick Voted To Provide Low-Level Convicts Of Crack Cocaine</w:t>
      </w:r>
      <w:r>
        <w:rPr>
          <w:bCs/>
          <w:b/>
        </w:rPr>
        <w:t xml:space="preserve"> </w:t>
      </w:r>
      <w:r>
        <w:rPr>
          <w:bCs/>
          <w:b/>
        </w:rPr>
        <w:t xml:space="preserve">To Be Eligible For Retroactive Reduction Of Their Prison Sentences Under</w:t>
      </w:r>
      <w:r>
        <w:rPr>
          <w:bCs/>
          <w:b/>
        </w:rPr>
        <w:t xml:space="preserve"> </w:t>
      </w:r>
      <w:r>
        <w:rPr>
          <w:bCs/>
          <w:b/>
        </w:rPr>
        <w:t xml:space="preserve">The 2010 Sentencing Act.</w:t>
      </w:r>
      <w:r>
        <w:t xml:space="preserve"> </w:t>
      </w:r>
      <w:r>
        <w:t xml:space="preserve">In November 2022, according to Congressional</w:t>
      </w:r>
      <w:r>
        <w:t xml:space="preserve"> </w:t>
      </w:r>
      <w:r>
        <w:t xml:space="preserve">Quarterly, Fitzpatrick voted for the Terry Technical Correction Act,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specify that individuals convicted of lower-level offenses</w:t>
      </w:r>
      <w:r>
        <w:t xml:space="preserve"> </w:t>
      </w:r>
      <w:r>
        <w:t xml:space="preserve">involving crack cocaine would be eligible for retroactive reduction of</w:t>
      </w:r>
      <w:r>
        <w:t xml:space="preserve"> </w:t>
      </w:r>
      <w:r>
        <w:t xml:space="preserve">their prison sentences under the 2010 Fair Sentencing Act.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307-101. The Senate</w:t>
      </w:r>
      <w:r>
        <w:t xml:space="preserve"> </w:t>
      </w:r>
      <w:r>
        <w:t xml:space="preserve">did not take substantive action on the bill. [House Vote 488,</w:t>
      </w:r>
      <w:r>
        <w:t xml:space="preserve"> </w:t>
      </w:r>
      <w:hyperlink r:id="rId20">
        <w:r>
          <w:rPr>
            <w:rStyle w:val="Hyperlink"/>
          </w:rPr>
          <w:t xml:space="preserve">11/29/22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11/29/22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5455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88.xml" TargetMode="External" /><Relationship Type="http://schemas.openxmlformats.org/officeDocument/2006/relationships/hyperlink" Id="rId21" Target="https://plus.cq.com/vote/2022/H/488?21" TargetMode="External" /><Relationship Type="http://schemas.openxmlformats.org/officeDocument/2006/relationships/hyperlink" Id="rId22" Target="https://www.congress.gov/bill/117th-congress/house-bill/545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88.xml" TargetMode="External" /><Relationship Type="http://schemas.openxmlformats.org/officeDocument/2006/relationships/hyperlink" Id="rId21" Target="https://plus.cq.com/vote/2022/H/488?21" TargetMode="External" /><Relationship Type="http://schemas.openxmlformats.org/officeDocument/2006/relationships/hyperlink" Id="rId22" Target="https://www.congress.gov/bill/117th-congress/house-bill/545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