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opioid-epidemic"/>
    <w:p>
      <w:pPr>
        <w:pStyle w:val="Heading1"/>
      </w:pPr>
      <w:r>
        <w:t xml:space="preserve">Opioid Epidemic</w:t>
      </w:r>
    </w:p>
    <w:bookmarkStart w:id="23" w:name="Xf83f206a81f4a4903a34f46d10ef345682263ef"/>
    <w:p>
      <w:pPr>
        <w:pStyle w:val="Heading3"/>
      </w:pPr>
      <w:r>
        <w:t xml:space="preserve">Border Patrol Accidental Opioid Exposure Prevention</w:t>
      </w:r>
    </w:p>
    <w:p>
      <w:pPr>
        <w:pStyle w:val="FirstParagraph"/>
      </w:pPr>
      <w:r>
        <w:rPr>
          <w:bCs/>
          <w:b/>
        </w:rPr>
        <w:t xml:space="preserve">2022: Fitzpatrick Voted To Require U.S. Customs And Border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Their Personnel Access To Containment Devices To Prevent</w:t>
      </w:r>
      <w:r>
        <w:rPr>
          <w:bCs/>
          <w:b/>
        </w:rPr>
        <w:t xml:space="preserve"> </w:t>
      </w:r>
      <w:r>
        <w:rPr>
          <w:bCs/>
          <w:b/>
        </w:rPr>
        <w:t xml:space="preserve">Secondary Exposure Of Fentanyl And Other Synthetic Opioids.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Prevent Exposure to Narcotics and Toxics Act of 2021, which would</w:t>
      </w:r>
      <w:r>
        <w:t xml:space="preserve"> </w:t>
      </w:r>
      <w:r>
        <w:t xml:space="preserve">“</w:t>
      </w:r>
      <w:r>
        <w:t xml:space="preserve">require U.S. Customs and Border Protection to ensure that all personnel</w:t>
      </w:r>
      <w:r>
        <w:t xml:space="preserve"> </w:t>
      </w:r>
      <w:r>
        <w:t xml:space="preserve">at risk of accidental exposure to synthetic opioids have access to</w:t>
      </w:r>
      <w:r>
        <w:t xml:space="preserve"> </w:t>
      </w:r>
      <w:r>
        <w:t xml:space="preserve">containment devices to prevent secondary exposure to fentanyl and other</w:t>
      </w:r>
      <w:r>
        <w:t xml:space="preserve"> </w:t>
      </w:r>
      <w:r>
        <w:t xml:space="preserve">potentially lethal substances. It would also require the CBP to mandate</w:t>
      </w:r>
      <w:r>
        <w:t xml:space="preserve"> </w:t>
      </w:r>
      <w:r>
        <w:t xml:space="preserve">recurrent training on how to use the devices.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429-0, thus the bill was sent to the</w:t>
      </w:r>
      <w:r>
        <w:t xml:space="preserve"> </w:t>
      </w:r>
      <w:r>
        <w:t xml:space="preserve">Senate. [House Vote 306,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5274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06.xml" TargetMode="External" /><Relationship Type="http://schemas.openxmlformats.org/officeDocument/2006/relationships/hyperlink" Id="rId21" Target="https://plus.cq.com/vote/2022/H/306?9" TargetMode="External" /><Relationship Type="http://schemas.openxmlformats.org/officeDocument/2006/relationships/hyperlink" Id="rId22" Target="https://www.congress.gov/bill/117th-congress/house-bill/527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06.xml" TargetMode="External" /><Relationship Type="http://schemas.openxmlformats.org/officeDocument/2006/relationships/hyperlink" Id="rId21" Target="https://plus.cq.com/vote/2022/H/306?9" TargetMode="External" /><Relationship Type="http://schemas.openxmlformats.org/officeDocument/2006/relationships/hyperlink" Id="rId22" Target="https://www.congress.gov/bill/117th-congress/house-bill/527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