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4" w:name="domestic-violence"/>
    <w:p>
      <w:pPr>
        <w:pStyle w:val="Heading1"/>
      </w:pPr>
      <w:r>
        <w:t xml:space="preserve">Domestic Violence</w:t>
      </w:r>
    </w:p>
    <w:bookmarkStart w:id="26" w:name="housing-protections"/>
    <w:p>
      <w:pPr>
        <w:pStyle w:val="Heading3"/>
      </w:pPr>
      <w:r>
        <w:t xml:space="preserve">Housing Protections</w:t>
      </w:r>
    </w:p>
    <w:p>
      <w:pPr>
        <w:pStyle w:val="FirstParagraph"/>
      </w:pPr>
      <w:r>
        <w:rPr>
          <w:bCs/>
          <w:b/>
        </w:rPr>
        <w:t xml:space="preserve">2021: Fitzpatrick Voted To Expand Housing Protections To Survivors Of</w:t>
      </w:r>
      <w:r>
        <w:rPr>
          <w:bCs/>
          <w:b/>
        </w:rPr>
        <w:t xml:space="preserve"> </w:t>
      </w:r>
      <w:r>
        <w:rPr>
          <w:bCs/>
          <w:b/>
        </w:rPr>
        <w:t xml:space="preserve">Domestic Assault And Sexual Assault And Authorizing $55 Million</w:t>
      </w:r>
      <w:r>
        <w:rPr>
          <w:bCs/>
          <w:b/>
        </w:rPr>
        <w:t xml:space="preserve"> </w:t>
      </w:r>
      <w:r>
        <w:rPr>
          <w:bCs/>
          <w:b/>
        </w:rPr>
        <w:t xml:space="preserve">Annually Through FY 2026 For Rental Assistance And Transitional Housing</w:t>
      </w:r>
      <w:r>
        <w:rPr>
          <w:bCs/>
          <w:b/>
        </w:rPr>
        <w:t xml:space="preserve"> </w:t>
      </w:r>
      <w:r>
        <w:rPr>
          <w:bCs/>
          <w:b/>
        </w:rPr>
        <w:t xml:space="preserve">Services.</w:t>
      </w:r>
      <w:r>
        <w:t xml:space="preserve"> </w:t>
      </w:r>
      <w:r>
        <w:t xml:space="preserve">In March 2021, Fitzpatrick voted for the Violence Against</w:t>
      </w:r>
      <w:r>
        <w:t xml:space="preserve"> </w:t>
      </w:r>
      <w:r>
        <w:t xml:space="preserve">Women Reauthorization Act of 2021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expand certain housing protections for victims</w:t>
      </w:r>
      <w:r>
        <w:t xml:space="preserve"> </w:t>
      </w:r>
      <w:r>
        <w:t xml:space="preserve">of domestic violence, dating violence, sexual assault and stalking and</w:t>
      </w:r>
      <w:r>
        <w:t xml:space="preserve"> </w:t>
      </w:r>
      <w:r>
        <w:t xml:space="preserve">authorize $55 million annually through fiscal 2026 for rental</w:t>
      </w:r>
      <w:r>
        <w:t xml:space="preserve"> </w:t>
      </w:r>
      <w:r>
        <w:t xml:space="preserve">assistance vouchers and transitional housing services for such</w:t>
      </w:r>
      <w:r>
        <w:t xml:space="preserve"> </w:t>
      </w:r>
      <w:r>
        <w:t xml:space="preserve">individuals.</w:t>
      </w:r>
      <w:r>
        <w:t xml:space="preserve">”</w:t>
      </w:r>
      <w:r>
        <w:t xml:space="preserve"> </w:t>
      </w:r>
      <w:r>
        <w:t xml:space="preserve">The vote was on passage. The House passed the bill by a</w:t>
      </w:r>
      <w:r>
        <w:t xml:space="preserve"> </w:t>
      </w:r>
      <w:r>
        <w:t xml:space="preserve">vote of 244-172. The Senate did not take substantive action on the bill.</w:t>
      </w:r>
      <w:r>
        <w:t xml:space="preserve"> </w:t>
      </w:r>
      <w:r>
        <w:t xml:space="preserve">[House Vote 86,</w:t>
      </w:r>
      <w:r>
        <w:t xml:space="preserve"> </w:t>
      </w:r>
      <w:hyperlink r:id="rId20">
        <w:r>
          <w:rPr>
            <w:rStyle w:val="Hyperlink"/>
          </w:rPr>
          <w:t xml:space="preserve">3/17/21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3/17/21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1620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Voted For An Amendment That Would Expand Housing</w:t>
      </w:r>
      <w:r>
        <w:rPr>
          <w:bCs/>
          <w:b/>
        </w:rPr>
        <w:t xml:space="preserve"> </w:t>
      </w:r>
      <w:r>
        <w:rPr>
          <w:bCs/>
          <w:b/>
        </w:rPr>
        <w:t xml:space="preserve">Protections For Domestic Violence Survivors Who Participate In Federal</w:t>
      </w:r>
      <w:r>
        <w:rPr>
          <w:bCs/>
          <w:b/>
        </w:rPr>
        <w:t xml:space="preserve"> </w:t>
      </w:r>
      <w:r>
        <w:rPr>
          <w:bCs/>
          <w:b/>
        </w:rPr>
        <w:t xml:space="preserve">Housing Programs.</w:t>
      </w:r>
      <w:r>
        <w:t xml:space="preserve"> </w:t>
      </w:r>
      <w:r>
        <w:t xml:space="preserve">In March 2021, Fitzpatrick voted for en bloc</w:t>
      </w:r>
      <w:r>
        <w:t xml:space="preserve"> </w:t>
      </w:r>
      <w:r>
        <w:t xml:space="preserve">amendments no.1 which would, according to Congressional Quarterly,</w:t>
      </w:r>
      <w:r>
        <w:t xml:space="preserve"> </w:t>
      </w:r>
      <w:r>
        <w:t xml:space="preserve">“</w:t>
      </w:r>
      <w:r>
        <w:t xml:space="preserve">expand certain housing protections for victims of domestic violence,</w:t>
      </w:r>
      <w:r>
        <w:t xml:space="preserve"> </w:t>
      </w:r>
      <w:r>
        <w:t xml:space="preserve">dating violence, sexual assault and stalking participating in federal</w:t>
      </w:r>
      <w:r>
        <w:t xml:space="preserve"> </w:t>
      </w:r>
      <w:r>
        <w:t xml:space="preserve">housing programs.</w:t>
      </w:r>
      <w:r>
        <w:t xml:space="preserve">”</w:t>
      </w:r>
      <w:r>
        <w:t xml:space="preserve"> </w:t>
      </w:r>
      <w:r>
        <w:t xml:space="preserve">The vote was on the adoption of amendments. The House</w:t>
      </w:r>
      <w:r>
        <w:t xml:space="preserve"> </w:t>
      </w:r>
      <w:r>
        <w:t xml:space="preserve">adopted the amendments by a vote of 228-197. [House Vote 83,</w:t>
      </w:r>
      <w:r>
        <w:t xml:space="preserve"> </w:t>
      </w:r>
      <w:hyperlink r:id="rId23">
        <w:r>
          <w:rPr>
            <w:rStyle w:val="Hyperlink"/>
          </w:rPr>
          <w:t xml:space="preserve">3/17/21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4">
        <w:r>
          <w:rPr>
            <w:rStyle w:val="Hyperlink"/>
          </w:rPr>
          <w:t xml:space="preserve">3/17/21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5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1620</w:t>
        </w:r>
      </w:hyperlink>
      <w:r>
        <w:t xml:space="preserve">]</w:t>
      </w:r>
    </w:p>
    <w:bookmarkEnd w:id="26"/>
    <w:bookmarkStart w:id="32" w:name="nationwide-awareness-campaign"/>
    <w:p>
      <w:pPr>
        <w:pStyle w:val="Heading3"/>
      </w:pPr>
      <w:r>
        <w:t xml:space="preserve">Nationwide Awareness Campaign</w:t>
      </w:r>
    </w:p>
    <w:p>
      <w:pPr>
        <w:pStyle w:val="FirstParagraph"/>
      </w:pPr>
      <w:r>
        <w:rPr>
          <w:bCs/>
          <w:b/>
        </w:rPr>
        <w:t xml:space="preserve">2021: Fitzpatrick Effectively Voted Against An Amendment That Would</w:t>
      </w:r>
      <w:r>
        <w:rPr>
          <w:bCs/>
          <w:b/>
        </w:rPr>
        <w:t xml:space="preserve"> </w:t>
      </w:r>
      <w:r>
        <w:rPr>
          <w:bCs/>
          <w:b/>
        </w:rPr>
        <w:t xml:space="preserve">Require A Nationwide Awareness Campaign On Domestic Violence Impacts In</w:t>
      </w:r>
      <w:r>
        <w:rPr>
          <w:bCs/>
          <w:b/>
        </w:rPr>
        <w:t xml:space="preserve"> </w:t>
      </w:r>
      <w:r>
        <w:rPr>
          <w:bCs/>
          <w:b/>
        </w:rPr>
        <w:t xml:space="preserve">The Workplace.</w:t>
      </w:r>
      <w:r>
        <w:t xml:space="preserve"> </w:t>
      </w:r>
      <w:r>
        <w:t xml:space="preserve">In March 2021, Fitzpatrick effectively voted against</w:t>
      </w:r>
      <w:r>
        <w:t xml:space="preserve"> </w:t>
      </w:r>
      <w:r>
        <w:t xml:space="preserve">the manager’s amendment to the Violence Against Women Reauthorization</w:t>
      </w:r>
      <w:r>
        <w:t xml:space="preserve"> </w:t>
      </w:r>
      <w:r>
        <w:t xml:space="preserve">Act which would, according to Congressional Quarterly,</w:t>
      </w:r>
      <w:r>
        <w:t xml:space="preserve"> </w:t>
      </w:r>
      <w:r>
        <w:t xml:space="preserve">“</w:t>
      </w:r>
      <w:r>
        <w:t xml:space="preserve">require that a</w:t>
      </w:r>
      <w:r>
        <w:t xml:space="preserve"> </w:t>
      </w:r>
      <w:r>
        <w:t xml:space="preserve">national public awareness campaign related to the workplace impact of</w:t>
      </w:r>
      <w:r>
        <w:t xml:space="preserve"> </w:t>
      </w:r>
      <w:r>
        <w:t xml:space="preserve">domestic violence and related workplace laws be conducted in a manner</w:t>
      </w:r>
      <w:r>
        <w:t xml:space="preserve"> </w:t>
      </w:r>
      <w:r>
        <w:t xml:space="preserve">equally accessible to people with and without disabilities.</w:t>
      </w:r>
      <w:r>
        <w:t xml:space="preserve">”</w:t>
      </w:r>
      <w:r>
        <w:t xml:space="preserve"> </w:t>
      </w:r>
      <w:r>
        <w:t xml:space="preserve">T The vote</w:t>
      </w:r>
      <w:r>
        <w:t xml:space="preserve"> </w:t>
      </w:r>
      <w:r>
        <w:t xml:space="preserve">was on the adoption of the rule. The House adopted the rule by a vote of</w:t>
      </w:r>
      <w:r>
        <w:t xml:space="preserve"> </w:t>
      </w:r>
      <w:r>
        <w:t xml:space="preserve">216-204, thus automatically adopting the manager’s amendment. [House</w:t>
      </w:r>
      <w:r>
        <w:t xml:space="preserve"> </w:t>
      </w:r>
      <w:r>
        <w:t xml:space="preserve">Vote 79,</w:t>
      </w:r>
      <w:r>
        <w:t xml:space="preserve"> </w:t>
      </w:r>
      <w:hyperlink r:id="rId27">
        <w:r>
          <w:rPr>
            <w:rStyle w:val="Hyperlink"/>
          </w:rPr>
          <w:t xml:space="preserve">3/16/21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8">
        <w:r>
          <w:rPr>
            <w:rStyle w:val="Hyperlink"/>
          </w:rPr>
          <w:t xml:space="preserve">3/16/21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1620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9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233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Effectively Voted Against An Amendment That Would</w:t>
      </w:r>
      <w:r>
        <w:rPr>
          <w:bCs/>
          <w:b/>
        </w:rPr>
        <w:t xml:space="preserve"> </w:t>
      </w:r>
      <w:r>
        <w:rPr>
          <w:bCs/>
          <w:b/>
        </w:rPr>
        <w:t xml:space="preserve">Require A Nationwide Awareness Campaign On Domestic Violence Impacts In</w:t>
      </w:r>
      <w:r>
        <w:rPr>
          <w:bCs/>
          <w:b/>
        </w:rPr>
        <w:t xml:space="preserve"> </w:t>
      </w:r>
      <w:r>
        <w:rPr>
          <w:bCs/>
          <w:b/>
        </w:rPr>
        <w:t xml:space="preserve">The Workplace.</w:t>
      </w:r>
      <w:r>
        <w:t xml:space="preserve"> </w:t>
      </w:r>
      <w:r>
        <w:t xml:space="preserve">In March 2021, Fitzpatrick effectively voted against</w:t>
      </w:r>
      <w:r>
        <w:t xml:space="preserve"> </w:t>
      </w:r>
      <w:r>
        <w:t xml:space="preserve">the manager’s amendment to the Violence Against Women Reauthorization</w:t>
      </w:r>
      <w:r>
        <w:t xml:space="preserve"> </w:t>
      </w:r>
      <w:r>
        <w:t xml:space="preserve">Act which would, according to Congressional Quarterly,</w:t>
      </w:r>
      <w:r>
        <w:t xml:space="preserve"> </w:t>
      </w:r>
      <w:r>
        <w:t xml:space="preserve">“</w:t>
      </w:r>
      <w:r>
        <w:t xml:space="preserve">require that a</w:t>
      </w:r>
      <w:r>
        <w:t xml:space="preserve"> </w:t>
      </w:r>
      <w:r>
        <w:t xml:space="preserve">national public awareness campaign related to the workplace impact of</w:t>
      </w:r>
      <w:r>
        <w:t xml:space="preserve"> </w:t>
      </w:r>
      <w:r>
        <w:t xml:space="preserve">domestic violence and related workplace laws be conducted in a manner</w:t>
      </w:r>
      <w:r>
        <w:t xml:space="preserve"> </w:t>
      </w:r>
      <w:r>
        <w:t xml:space="preserve">equally accessible to people with and without disabilities.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a motion to order the previous question. The House agreed to the</w:t>
      </w:r>
      <w:r>
        <w:t xml:space="preserve"> </w:t>
      </w:r>
      <w:r>
        <w:t xml:space="preserve">motion by a vote of 212-200. [House Vote 78,</w:t>
      </w:r>
      <w:r>
        <w:t xml:space="preserve"> </w:t>
      </w:r>
      <w:hyperlink r:id="rId30">
        <w:r>
          <w:rPr>
            <w:rStyle w:val="Hyperlink"/>
          </w:rPr>
          <w:t xml:space="preserve">3/16/21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1">
        <w:r>
          <w:rPr>
            <w:rStyle w:val="Hyperlink"/>
          </w:rPr>
          <w:t xml:space="preserve">3/16/21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1620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9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233</w:t>
        </w:r>
      </w:hyperlink>
      <w:r>
        <w:t xml:space="preserve">]</w:t>
      </w:r>
    </w:p>
    <w:bookmarkEnd w:id="32"/>
    <w:bookmarkStart w:id="33" w:name="unemployment-benefits"/>
    <w:p>
      <w:pPr>
        <w:pStyle w:val="Heading3"/>
      </w:pPr>
      <w:r>
        <w:t xml:space="preserve">Unemployment Benefits</w:t>
      </w:r>
    </w:p>
    <w:p>
      <w:pPr>
        <w:pStyle w:val="FirstParagraph"/>
      </w:pPr>
      <w:r>
        <w:rPr>
          <w:bCs/>
          <w:b/>
        </w:rPr>
        <w:t xml:space="preserve">2021: Fitzpatrick Voted To Prohibit Denying Unemployment Benefits To</w:t>
      </w:r>
      <w:r>
        <w:rPr>
          <w:bCs/>
          <w:b/>
        </w:rPr>
        <w:t xml:space="preserve"> </w:t>
      </w:r>
      <w:r>
        <w:rPr>
          <w:bCs/>
          <w:b/>
        </w:rPr>
        <w:t xml:space="preserve">Someone Who Quit Their Job Due To Domestic Violence, Sexual Assault, Or</w:t>
      </w:r>
      <w:r>
        <w:rPr>
          <w:bCs/>
          <w:b/>
        </w:rPr>
        <w:t xml:space="preserve"> </w:t>
      </w:r>
      <w:r>
        <w:rPr>
          <w:bCs/>
          <w:b/>
        </w:rPr>
        <w:t xml:space="preserve">Harassment.</w:t>
      </w:r>
      <w:r>
        <w:t xml:space="preserve"> </w:t>
      </w:r>
      <w:r>
        <w:t xml:space="preserve">In March 2021, Fitzpatrick voted for the Violence Against</w:t>
      </w:r>
      <w:r>
        <w:t xml:space="preserve"> </w:t>
      </w:r>
      <w:r>
        <w:t xml:space="preserve">Women Reauthorization Act of 2021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prohibit the denial of unemployment</w:t>
      </w:r>
      <w:r>
        <w:t xml:space="preserve"> </w:t>
      </w:r>
      <w:r>
        <w:t xml:space="preserve">compensation benefits to an individual who left a job due to domestic</w:t>
      </w:r>
      <w:r>
        <w:t xml:space="preserve"> </w:t>
      </w:r>
      <w:r>
        <w:t xml:space="preserve">violence, sexual assault or harassment.</w:t>
      </w:r>
      <w:r>
        <w:t xml:space="preserve">”</w:t>
      </w:r>
      <w:r>
        <w:t xml:space="preserve"> </w:t>
      </w:r>
      <w:r>
        <w:t xml:space="preserve">The vote was on passage. The</w:t>
      </w:r>
      <w:r>
        <w:t xml:space="preserve"> </w:t>
      </w:r>
      <w:r>
        <w:t xml:space="preserve">House passed the bill by a vote of 244-172. The Senate did not take</w:t>
      </w:r>
      <w:r>
        <w:t xml:space="preserve"> </w:t>
      </w:r>
      <w:r>
        <w:t xml:space="preserve">substantive action on the bill. [House Vote 86,</w:t>
      </w:r>
      <w:r>
        <w:t xml:space="preserve"> </w:t>
      </w:r>
      <w:hyperlink r:id="rId20">
        <w:r>
          <w:rPr>
            <w:rStyle w:val="Hyperlink"/>
          </w:rPr>
          <w:t xml:space="preserve">3/17/21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3/17/21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1620</w:t>
        </w:r>
      </w:hyperlink>
      <w:r>
        <w:t xml:space="preserve">]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0" Target="http://clerk.house.gov/evs/2021/roll078.xml" TargetMode="External" /><Relationship Type="http://schemas.openxmlformats.org/officeDocument/2006/relationships/hyperlink" Id="rId27" Target="http://clerk.house.gov/evs/2021/roll079.xml" TargetMode="External" /><Relationship Type="http://schemas.openxmlformats.org/officeDocument/2006/relationships/hyperlink" Id="rId23" Target="http://clerk.house.gov/evs/2021/roll083.xml" TargetMode="External" /><Relationship Type="http://schemas.openxmlformats.org/officeDocument/2006/relationships/hyperlink" Id="rId20" Target="http://clerk.house.gov/evs/2021/roll086.xml" TargetMode="External" /><Relationship Type="http://schemas.openxmlformats.org/officeDocument/2006/relationships/hyperlink" Id="rId31" Target="https://plus.cq.com/vote/2021/H/78?6" TargetMode="External" /><Relationship Type="http://schemas.openxmlformats.org/officeDocument/2006/relationships/hyperlink" Id="rId28" Target="https://plus.cq.com/vote/2021/H/79?3" TargetMode="External" /><Relationship Type="http://schemas.openxmlformats.org/officeDocument/2006/relationships/hyperlink" Id="rId24" Target="https://plus.cq.com/vote/2021/H/83?12" TargetMode="External" /><Relationship Type="http://schemas.openxmlformats.org/officeDocument/2006/relationships/hyperlink" Id="rId21" Target="https://plus.cq.com/vote/2021/H/86?7" TargetMode="External" /><Relationship Type="http://schemas.openxmlformats.org/officeDocument/2006/relationships/hyperlink" Id="rId25" Target="https://www.congress.gov/amendment/117th-congress/house-amendment/31/actions?r=3&amp;s=a" TargetMode="External" /><Relationship Type="http://schemas.openxmlformats.org/officeDocument/2006/relationships/hyperlink" Id="rId22" Target="https://www.congress.gov/bill/117th-congress/house-bill/1620/actions" TargetMode="External" /><Relationship Type="http://schemas.openxmlformats.org/officeDocument/2006/relationships/hyperlink" Id="rId29" Target="https://www.congress.gov/bill/117th-congress/house-resolution/233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http://clerk.house.gov/evs/2021/roll078.xml" TargetMode="External" /><Relationship Type="http://schemas.openxmlformats.org/officeDocument/2006/relationships/hyperlink" Id="rId27" Target="http://clerk.house.gov/evs/2021/roll079.xml" TargetMode="External" /><Relationship Type="http://schemas.openxmlformats.org/officeDocument/2006/relationships/hyperlink" Id="rId23" Target="http://clerk.house.gov/evs/2021/roll083.xml" TargetMode="External" /><Relationship Type="http://schemas.openxmlformats.org/officeDocument/2006/relationships/hyperlink" Id="rId20" Target="http://clerk.house.gov/evs/2021/roll086.xml" TargetMode="External" /><Relationship Type="http://schemas.openxmlformats.org/officeDocument/2006/relationships/hyperlink" Id="rId31" Target="https://plus.cq.com/vote/2021/H/78?6" TargetMode="External" /><Relationship Type="http://schemas.openxmlformats.org/officeDocument/2006/relationships/hyperlink" Id="rId28" Target="https://plus.cq.com/vote/2021/H/79?3" TargetMode="External" /><Relationship Type="http://schemas.openxmlformats.org/officeDocument/2006/relationships/hyperlink" Id="rId24" Target="https://plus.cq.com/vote/2021/H/83?12" TargetMode="External" /><Relationship Type="http://schemas.openxmlformats.org/officeDocument/2006/relationships/hyperlink" Id="rId21" Target="https://plus.cq.com/vote/2021/H/86?7" TargetMode="External" /><Relationship Type="http://schemas.openxmlformats.org/officeDocument/2006/relationships/hyperlink" Id="rId25" Target="https://www.congress.gov/amendment/117th-congress/house-amendment/31/actions?r=3&amp;s=a" TargetMode="External" /><Relationship Type="http://schemas.openxmlformats.org/officeDocument/2006/relationships/hyperlink" Id="rId22" Target="https://www.congress.gov/bill/117th-congress/house-bill/1620/actions" TargetMode="External" /><Relationship Type="http://schemas.openxmlformats.org/officeDocument/2006/relationships/hyperlink" Id="rId29" Target="https://www.congress.gov/bill/117th-congress/house-resolution/233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2026-01-27T02:08:41Z</dcterms:created>
  <dcterms:modified xsi:type="dcterms:W3CDTF">2026-01-27T02:08:41Z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