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upplemental-appropriations"/>
    <w:p>
      <w:pPr>
        <w:pStyle w:val="Heading1"/>
      </w:pPr>
      <w:r>
        <w:t xml:space="preserve">Supplemental Appropriations</w:t>
      </w:r>
    </w:p>
    <w:p>
      <w:pPr>
        <w:pStyle w:val="FirstParagraph"/>
      </w:pPr>
      <w:r>
        <w:rPr>
          <w:bCs/>
          <w:b/>
        </w:rPr>
        <w:t xml:space="preserve">2022: Fitzpatrick Effectively Voted Against The COVID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Act, 2022.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973) that would provide for House floor consideration of […] the</w:t>
      </w:r>
      <w:r>
        <w:t xml:space="preserve"> </w:t>
      </w:r>
      <w:r>
        <w:t xml:space="preserve">$15.6 billion coronavirus relief bill (HR 7007). The rule would provide</w:t>
      </w:r>
      <w:r>
        <w:t xml:space="preserve"> </w:t>
      </w:r>
      <w:r>
        <w:t xml:space="preserve">for up to one hour of general debate on each measure.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218-204. [House Vote 64,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COVID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Act, 2022.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973) that would provide for House floor consideration of […]</w:t>
      </w:r>
      <w:r>
        <w:t xml:space="preserve"> </w:t>
      </w:r>
      <w:r>
        <w:t xml:space="preserve">the $15.6 billion coronavirus relief bill (HR 7007). The rule would</w:t>
      </w:r>
      <w:r>
        <w:t xml:space="preserve"> </w:t>
      </w:r>
      <w:r>
        <w:t xml:space="preserve">provide for up to one hour of general debate on each measure.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219-199. [House Vote 63,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22" Target="https://www.congress.gov/bill/117th-congress/house-bill/7007/actions?q=%7b%22search%22%3A%5B%22hr+7007%22%2C%22hr%22%2C%227007%22%5D%7d&amp;r=1&amp;s=4" TargetMode="External" /><Relationship Type="http://schemas.openxmlformats.org/officeDocument/2006/relationships/hyperlink" Id="rId23" Target="https://www.congress.gov/bill/117th-congress/house-resolution/97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22" Target="https://www.congress.gov/bill/117th-congress/house-bill/7007/actions?q=%7b%22search%22%3A%5B%22hr+7007%22%2C%22hr%22%2C%227007%22%5D%7d&amp;r=1&amp;s=4" TargetMode="External" /><Relationship Type="http://schemas.openxmlformats.org/officeDocument/2006/relationships/hyperlink" Id="rId23" Target="https://www.congress.gov/bill/117th-congress/house-resolution/97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