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anufacturers"/>
    <w:p>
      <w:pPr>
        <w:pStyle w:val="Heading1"/>
      </w:pPr>
      <w:r>
        <w:t xml:space="preserve">Manufacturers</w:t>
      </w:r>
    </w:p>
    <w:bookmarkStart w:id="23" w:name="disposable-wipes"/>
    <w:p>
      <w:pPr>
        <w:pStyle w:val="Heading3"/>
      </w:pPr>
      <w:r>
        <w:t xml:space="preserve">Disposable Wipes</w:t>
      </w:r>
    </w:p>
    <w:p>
      <w:pPr>
        <w:pStyle w:val="FirstParagraph"/>
      </w:pPr>
      <w:r>
        <w:rPr>
          <w:bCs/>
          <w:b/>
        </w:rPr>
        <w:t xml:space="preserve">2024: Fitzpatrick Voted To Require Manufacturers To Label Disposable</w:t>
      </w:r>
      <w:r>
        <w:rPr>
          <w:bCs/>
          <w:b/>
        </w:rPr>
        <w:t xml:space="preserve"> </w:t>
      </w:r>
      <w:r>
        <w:rPr>
          <w:bCs/>
          <w:b/>
        </w:rPr>
        <w:t xml:space="preserve">Wipes With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 Not Flush.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require manufacturers and supplies of disposable wipes to mark their</w:t>
      </w:r>
      <w:r>
        <w:t xml:space="preserve"> </w:t>
      </w:r>
      <w:r>
        <w:t xml:space="preserve">products with a</w:t>
      </w:r>
      <w:r>
        <w:t xml:space="preserve"> </w:t>
      </w:r>
      <w:r>
        <w:t xml:space="preserve">‘</w:t>
      </w:r>
      <w:r>
        <w:t xml:space="preserve">do not flush</w:t>
      </w:r>
      <w:r>
        <w:t xml:space="preserve">’</w:t>
      </w:r>
      <w:r>
        <w:t xml:space="preserve"> </w:t>
      </w:r>
      <w:r>
        <w:t xml:space="preserve">label and symbol. It would require</w:t>
      </w:r>
      <w:r>
        <w:t xml:space="preserve"> </w:t>
      </w:r>
      <w:r>
        <w:t xml:space="preserve">individuals and entities that manufacture, wholesale, supply or retail</w:t>
      </w:r>
      <w:r>
        <w:t xml:space="preserve"> </w:t>
      </w:r>
      <w:r>
        <w:t xml:space="preserve">premoistened, nonwoven disposable wipes to</w:t>
      </w:r>
      <w:r>
        <w:t xml:space="preserve"> </w:t>
      </w:r>
      <w:r>
        <w:t xml:space="preserve">‘</w:t>
      </w:r>
      <w:r>
        <w:t xml:space="preserve">clearly and conspicuously</w:t>
      </w:r>
      <w:r>
        <w:t xml:space="preserve">’</w:t>
      </w:r>
      <w:r>
        <w:t xml:space="preserve"> </w:t>
      </w:r>
      <w:r>
        <w:t xml:space="preserve">label their products with a</w:t>
      </w:r>
      <w:r>
        <w:t xml:space="preserve"> </w:t>
      </w:r>
      <w:r>
        <w:t xml:space="preserve">‘</w:t>
      </w:r>
      <w:r>
        <w:t xml:space="preserve">do not flush</w:t>
      </w:r>
      <w:r>
        <w:t xml:space="preserve">’</w:t>
      </w:r>
      <w:r>
        <w:t xml:space="preserve"> </w:t>
      </w:r>
      <w:r>
        <w:t xml:space="preserve">notice and symbol. The bill</w:t>
      </w:r>
      <w:r>
        <w:t xml:space="preserve"> </w:t>
      </w:r>
      <w:r>
        <w:t xml:space="preserve">would require that packaging seams, folds or other design elements do</w:t>
      </w:r>
      <w:r>
        <w:t xml:space="preserve"> </w:t>
      </w:r>
      <w:r>
        <w:t xml:space="preserve">not obscure the symbol or label notice. It also would require the symbol</w:t>
      </w:r>
      <w:r>
        <w:t xml:space="preserve"> </w:t>
      </w:r>
      <w:r>
        <w:t xml:space="preserve">and label notice to be equal in size to at least 2 percent of the</w:t>
      </w:r>
      <w:r>
        <w:t xml:space="preserve"> </w:t>
      </w:r>
      <w:r>
        <w:t xml:space="preserve">surface area of the principal display panel. Additionally, it would</w:t>
      </w:r>
      <w:r>
        <w:t xml:space="preserve"> </w:t>
      </w:r>
      <w:r>
        <w:t xml:space="preserve">require the symbol and label notice to have high contrast with the</w:t>
      </w:r>
      <w:r>
        <w:t xml:space="preserve"> </w:t>
      </w:r>
      <w:r>
        <w:t xml:space="preserve">packaging’s background in order to be seen and read by an ordinary</w:t>
      </w:r>
      <w:r>
        <w:t xml:space="preserve"> </w:t>
      </w:r>
      <w:r>
        <w:t xml:space="preserve">individual. The bill would prohibit a state or political subdivision</w:t>
      </w:r>
      <w:r>
        <w:t xml:space="preserve"> </w:t>
      </w:r>
      <w:r>
        <w:t xml:space="preserve">from directly or indirectly establishing or continuing labeling</w:t>
      </w:r>
      <w:r>
        <w:t xml:space="preserve"> </w:t>
      </w:r>
      <w:r>
        <w:t xml:space="preserve">requirements that are not identical to those in the bill. It also would</w:t>
      </w:r>
      <w:r>
        <w:t xml:space="preserve"> </w:t>
      </w:r>
      <w:r>
        <w:t xml:space="preserve">direct the Federal Trade Commission to issue regulations to implement</w:t>
      </w:r>
      <w:r>
        <w:t xml:space="preserve"> </w:t>
      </w:r>
      <w:r>
        <w:t xml:space="preserve">the bill within one year of its enactment.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351 to 56. [House Vote 249,</w:t>
      </w:r>
      <w:r>
        <w:t xml:space="preserve"> </w:t>
      </w:r>
      <w:hyperlink r:id="rId20">
        <w:r>
          <w:rPr>
            <w:rStyle w:val="Hyperlink"/>
          </w:rPr>
          <w:t xml:space="preserve">6/11/24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2964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49.xml" TargetMode="External" /><Relationship Type="http://schemas.openxmlformats.org/officeDocument/2006/relationships/hyperlink" Id="rId22" Target="http://www.congress.gov/bill/118th-congress/house-bill/2964/all-actions" TargetMode="External" /><Relationship Type="http://schemas.openxmlformats.org/officeDocument/2006/relationships/hyperlink" Id="rId21" Target="https://plus.cq.com/vote/2024/H/249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49.xml" TargetMode="External" /><Relationship Type="http://schemas.openxmlformats.org/officeDocument/2006/relationships/hyperlink" Id="rId22" Target="http://www.congress.gov/bill/118th-congress/house-bill/2964/all-actions" TargetMode="External" /><Relationship Type="http://schemas.openxmlformats.org/officeDocument/2006/relationships/hyperlink" Id="rId21" Target="https://plus.cq.com/vote/2024/H/249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