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department-of-commerce"/>
    <w:p>
      <w:pPr>
        <w:pStyle w:val="Heading1"/>
      </w:pPr>
      <w:r>
        <w:t xml:space="preserve">Department Of Commerce</w:t>
      </w:r>
    </w:p>
    <w:bookmarkStart w:id="2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To Provide $9.9 Billion For The Commerce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Department, Including $570 Million To The International Trade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 And $373.5 Million To The Economic Development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Administration.</w:t>
      </w:r>
      <w:r>
        <w:t xml:space="preserve"> </w:t>
      </w:r>
      <w:r>
        <w:t xml:space="preserve">In March 2022, according to Congressional Quarterly,</w:t>
      </w:r>
      <w:r>
        <w:t xml:space="preserve"> </w:t>
      </w:r>
      <w:r>
        <w:t xml:space="preserve">Fitzpatrick voted for the first portion of the Fiscal 2022 Omnibus</w:t>
      </w:r>
      <w:r>
        <w:t xml:space="preserve"> </w:t>
      </w:r>
      <w:r>
        <w:t xml:space="preserve">Appropriations, which would</w:t>
      </w:r>
      <w:r>
        <w:t xml:space="preserve"> </w:t>
      </w:r>
      <w:r>
        <w:t xml:space="preserve">“</w:t>
      </w:r>
      <w:r>
        <w:t xml:space="preserve">provide $9.9 billion for the Commerce</w:t>
      </w:r>
      <w:r>
        <w:t xml:space="preserve"> </w:t>
      </w:r>
      <w:r>
        <w:t xml:space="preserve">Department, including $570 million for the International Trade</w:t>
      </w:r>
      <w:r>
        <w:t xml:space="preserve"> </w:t>
      </w:r>
      <w:r>
        <w:t xml:space="preserve">Administration and $373.5 million for the Economic Development</w:t>
      </w:r>
      <w:r>
        <w:t xml:space="preserve"> </w:t>
      </w:r>
      <w:r>
        <w:t xml:space="preserve">Administration;</w:t>
      </w:r>
      <w:r>
        <w:t xml:space="preserve">”</w:t>
      </w:r>
      <w:r>
        <w:t xml:space="preserve"> </w:t>
      </w:r>
      <w:r>
        <w:t xml:space="preserve">The vote was on the motion to concur in the Senate</w:t>
      </w:r>
      <w:r>
        <w:t xml:space="preserve"> </w:t>
      </w:r>
      <w:r>
        <w:t xml:space="preserve">amendment with a House amendment. The bill was divided and this vote was</w:t>
      </w:r>
      <w:r>
        <w:t xml:space="preserve"> </w:t>
      </w:r>
      <w:r>
        <w:t xml:space="preserve">the first portion of the bill. The House concurred with the Senate by a</w:t>
      </w:r>
      <w:r>
        <w:t xml:space="preserve"> </w:t>
      </w:r>
      <w:r>
        <w:t xml:space="preserve">vote of 361-69. After resolving differences, the bill was sent to the</w:t>
      </w:r>
      <w:r>
        <w:t xml:space="preserve"> </w:t>
      </w:r>
      <w:r>
        <w:t xml:space="preserve">President and became law. [House Vote 65,</w:t>
      </w:r>
      <w:r>
        <w:t xml:space="preserve"> </w:t>
      </w:r>
      <w:hyperlink r:id="rId20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2471</w:t>
        </w:r>
      </w:hyperlink>
      <w:r>
        <w:t xml:space="preserve">]</w:t>
      </w:r>
    </w:p>
    <w:bookmarkEnd w:id="23"/>
    <w:bookmarkStart w:id="27" w:name="supply-chain-resiliency-program"/>
    <w:p>
      <w:pPr>
        <w:pStyle w:val="Heading3"/>
      </w:pPr>
      <w:r>
        <w:t xml:space="preserve">Supply Chain Resiliency Program</w:t>
      </w:r>
    </w:p>
    <w:p>
      <w:pPr>
        <w:pStyle w:val="FirstParagraph"/>
      </w:pPr>
      <w:r>
        <w:rPr>
          <w:bCs/>
          <w:b/>
        </w:rPr>
        <w:t xml:space="preserve">2024: Fitzpatrick Voted To Establish A Supply Chain Resiliency Program</w:t>
      </w:r>
      <w:r>
        <w:rPr>
          <w:bCs/>
          <w:b/>
        </w:rPr>
        <w:t xml:space="preserve"> </w:t>
      </w:r>
      <w:r>
        <w:rPr>
          <w:bCs/>
          <w:b/>
        </w:rPr>
        <w:t xml:space="preserve">Under The Department Of Commerce With Regular Reports To Congress And To</w:t>
      </w:r>
      <w:r>
        <w:rPr>
          <w:bCs/>
          <w:b/>
        </w:rPr>
        <w:t xml:space="preserve"> </w:t>
      </w:r>
      <w:r>
        <w:rPr>
          <w:bCs/>
          <w:b/>
        </w:rPr>
        <w:t xml:space="preserve">Require The Commerce Department To Designate Critical Industries Every</w:t>
      </w:r>
      <w:r>
        <w:rPr>
          <w:bCs/>
          <w:b/>
        </w:rPr>
        <w:t xml:space="preserve"> </w:t>
      </w:r>
      <w:r>
        <w:rPr>
          <w:bCs/>
          <w:b/>
        </w:rPr>
        <w:t xml:space="preserve">Four Years.</w:t>
      </w:r>
      <w:r>
        <w:t xml:space="preserve"> </w:t>
      </w:r>
      <w:r>
        <w:t xml:space="preserve">In May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bill, as amended, that would require the</w:t>
      </w:r>
      <w:r>
        <w:t xml:space="preserve"> </w:t>
      </w:r>
      <w:r>
        <w:t xml:space="preserve">assistant secretary of Commerce to direct the Office of Industry and</w:t>
      </w:r>
      <w:r>
        <w:t xml:space="preserve"> </w:t>
      </w:r>
      <w:r>
        <w:t xml:space="preserve">Analysis to promote U.S. leadership in industries, supply chains and</w:t>
      </w:r>
      <w:r>
        <w:t xml:space="preserve"> </w:t>
      </w:r>
      <w:r>
        <w:t xml:space="preserve">emerging technologies that are critical for U.S. national and economic</w:t>
      </w:r>
      <w:r>
        <w:t xml:space="preserve"> </w:t>
      </w:r>
      <w:r>
        <w:t xml:space="preserve">security. It would require the assistant secretary, within 180 days of</w:t>
      </w:r>
      <w:r>
        <w:t xml:space="preserve"> </w:t>
      </w:r>
      <w:r>
        <w:t xml:space="preserve">the bill's enactment, to establish in the Commerce Department a supply</w:t>
      </w:r>
      <w:r>
        <w:t xml:space="preserve"> </w:t>
      </w:r>
      <w:r>
        <w:t xml:space="preserve">chain resiliency program and crisis response program to map, monitor and</w:t>
      </w:r>
      <w:r>
        <w:t xml:space="preserve"> </w:t>
      </w:r>
      <w:r>
        <w:t xml:space="preserve">model such supply chains and identify high priority supply chain gaps</w:t>
      </w:r>
      <w:r>
        <w:t xml:space="preserve"> </w:t>
      </w:r>
      <w:r>
        <w:t xml:space="preserve">and vulnerabilities. It also would require the assistant secretary,</w:t>
      </w:r>
      <w:r>
        <w:t xml:space="preserve"> </w:t>
      </w:r>
      <w:r>
        <w:t xml:space="preserve">within 270 days of the bill's enactment, to designate critical</w:t>
      </w:r>
      <w:r>
        <w:t xml:space="preserve"> </w:t>
      </w:r>
      <w:r>
        <w:t xml:space="preserve">industries, supply chains and goods and update them at least every four</w:t>
      </w:r>
      <w:r>
        <w:t xml:space="preserve"> </w:t>
      </w:r>
      <w:r>
        <w:t xml:space="preserve">years. It would require the assistant secretary, within one year of the</w:t>
      </w:r>
      <w:r>
        <w:t xml:space="preserve"> </w:t>
      </w:r>
      <w:r>
        <w:t xml:space="preserve">bill's enactment and every two years thereafter, to submit to the</w:t>
      </w:r>
      <w:r>
        <w:t xml:space="preserve"> </w:t>
      </w:r>
      <w:r>
        <w:t xml:space="preserve">congressional commerce committees and post online a report with a</w:t>
      </w:r>
      <w:r>
        <w:t xml:space="preserve"> </w:t>
      </w:r>
      <w:r>
        <w:t xml:space="preserve">national strategy and review on domestic critical supply chain</w:t>
      </w:r>
      <w:r>
        <w:t xml:space="preserve"> </w:t>
      </w:r>
      <w:r>
        <w:t xml:space="preserve">resiliency and manufacturing. It would terminate the supply chain</w:t>
      </w:r>
      <w:r>
        <w:t xml:space="preserve"> </w:t>
      </w:r>
      <w:r>
        <w:t xml:space="preserve">program within seven years of the bill's enactment. It also would</w:t>
      </w:r>
      <w:r>
        <w:t xml:space="preserve"> </w:t>
      </w:r>
      <w:r>
        <w:t xml:space="preserve">require the Commerce Department, within two years of the bill's</w:t>
      </w:r>
      <w:r>
        <w:t xml:space="preserve"> </w:t>
      </w:r>
      <w:r>
        <w:t xml:space="preserve">enactment, to submit to Congress a report with recommendations to</w:t>
      </w:r>
      <w:r>
        <w:t xml:space="preserve"> </w:t>
      </w:r>
      <w:r>
        <w:t xml:space="preserve">enhance department activities related to critical supply chain</w:t>
      </w:r>
      <w:r>
        <w:t xml:space="preserve"> </w:t>
      </w:r>
      <w:r>
        <w:t xml:space="preserve">resilience and manufacturing innovation.</w:t>
      </w:r>
      <w:r>
        <w:t xml:space="preserve">”</w:t>
      </w:r>
      <w:r>
        <w:t xml:space="preserve"> </w:t>
      </w:r>
      <w:r>
        <w:t xml:space="preserve">The House passed the bill by a</w:t>
      </w:r>
      <w:r>
        <w:t xml:space="preserve"> </w:t>
      </w:r>
      <w:r>
        <w:t xml:space="preserve">vote of 390 to 19. [House Vote 211,</w:t>
      </w:r>
      <w:r>
        <w:t xml:space="preserve"> </w:t>
      </w:r>
      <w:hyperlink r:id="rId24">
        <w:r>
          <w:rPr>
            <w:rStyle w:val="Hyperlink"/>
          </w:rPr>
          <w:t xml:space="preserve">5/15/24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5/15/24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6571</w:t>
        </w:r>
      </w:hyperlink>
      <w:r>
        <w:t xml:space="preserve">]</w:t>
      </w:r>
    </w:p>
    <w:bookmarkEnd w:id="27"/>
    <w:bookmarkStart w:id="31" w:name="tourism-and-travel-strategy-and-goals"/>
    <w:p>
      <w:pPr>
        <w:pStyle w:val="Heading3"/>
      </w:pPr>
      <w:r>
        <w:t xml:space="preserve">Tourism And Travel Strategy And Goals</w:t>
      </w:r>
    </w:p>
    <w:p>
      <w:pPr>
        <w:pStyle w:val="FirstParagraph"/>
      </w:pPr>
      <w:r>
        <w:rPr>
          <w:bCs/>
          <w:b/>
        </w:rPr>
        <w:t xml:space="preserve">2022: Fitzpatrick Voted To Create A Senate-Confirmed Position Of</w:t>
      </w:r>
      <w:r>
        <w:rPr>
          <w:bCs/>
          <w:b/>
        </w:rPr>
        <w:t xml:space="preserve"> </w:t>
      </w:r>
      <w:r>
        <w:rPr>
          <w:bCs/>
          <w:b/>
        </w:rPr>
        <w:t xml:space="preserve">Assistant Secretary Of Commerce For Travel And Tourism, Who Would</w:t>
      </w:r>
      <w:r>
        <w:rPr>
          <w:bCs/>
          <w:b/>
        </w:rPr>
        <w:t xml:space="preserve"> </w:t>
      </w:r>
      <w:r>
        <w:rPr>
          <w:bCs/>
          <w:b/>
        </w:rPr>
        <w:t xml:space="preserve">Establish International Tourism Goals And Evaluate Policy To Increase</w:t>
      </w:r>
      <w:r>
        <w:rPr>
          <w:bCs/>
          <w:b/>
        </w:rPr>
        <w:t xml:space="preserve"> </w:t>
      </w:r>
      <w:r>
        <w:rPr>
          <w:bCs/>
          <w:b/>
        </w:rPr>
        <w:t xml:space="preserve">Domestic Travel.</w:t>
      </w:r>
      <w:r>
        <w:t xml:space="preserve"> </w:t>
      </w:r>
      <w:r>
        <w:t xml:space="preserve">In September 2022, according to Congressional</w:t>
      </w:r>
      <w:r>
        <w:t xml:space="preserve"> </w:t>
      </w:r>
      <w:r>
        <w:t xml:space="preserve">Quarterly, Fitzpatrick voted for the Visit America Act, which would</w:t>
      </w:r>
      <w:r>
        <w:t xml:space="preserve"> </w:t>
      </w:r>
      <w:r>
        <w:t xml:space="preserve">“</w:t>
      </w:r>
      <w:r>
        <w:t xml:space="preserve">create a Senate-confirmed position of assistant secretary of Commerce</w:t>
      </w:r>
      <w:r>
        <w:t xml:space="preserve"> </w:t>
      </w:r>
      <w:r>
        <w:t xml:space="preserve">for Travel and Tourism. Among other duties, it would require the</w:t>
      </w:r>
      <w:r>
        <w:t xml:space="preserve"> </w:t>
      </w:r>
      <w:r>
        <w:t xml:space="preserve">assistant secretary to establish annual goals for international</w:t>
      </w:r>
      <w:r>
        <w:t xml:space="preserve"> </w:t>
      </w:r>
      <w:r>
        <w:t xml:space="preserve">visitation to the U.S. and the value of travel and tourism commerce;</w:t>
      </w:r>
      <w:r>
        <w:t xml:space="preserve"> </w:t>
      </w:r>
      <w:r>
        <w:t xml:space="preserve">make recommendations to meet such goals; evaluate policy options to grow</w:t>
      </w:r>
      <w:r>
        <w:t xml:space="preserve"> </w:t>
      </w:r>
      <w:r>
        <w:t xml:space="preserve">the domestic travel industry; work with the Labor Department on</w:t>
      </w:r>
      <w:r>
        <w:t xml:space="preserve"> </w:t>
      </w:r>
      <w:r>
        <w:t xml:space="preserve">improving travel and tourism workforce and industry data; and develop a</w:t>
      </w:r>
      <w:r>
        <w:t xml:space="preserve"> </w:t>
      </w:r>
      <w:r>
        <w:t xml:space="preserve">strategy to help the industry recover from the COVID-19 pandemic and</w:t>
      </w:r>
      <w:r>
        <w:t xml:space="preserve"> </w:t>
      </w:r>
      <w:r>
        <w:t xml:space="preserve">future disruptive events. It would also statutorily establish the Travel</w:t>
      </w:r>
      <w:r>
        <w:t xml:space="preserve"> </w:t>
      </w:r>
      <w:r>
        <w:t xml:space="preserve">and Tourism Advisory Board to advise the Commerce Department on matters</w:t>
      </w:r>
      <w:r>
        <w:t xml:space="preserve"> </w:t>
      </w:r>
      <w:r>
        <w:t xml:space="preserve">relating to travel and tourism and require the Commerce Department to</w:t>
      </w:r>
      <w:r>
        <w:t xml:space="preserve"> </w:t>
      </w:r>
      <w:r>
        <w:t xml:space="preserve">develop and submit to Congress, every 10 years, a travel and tourism</w:t>
      </w:r>
      <w:r>
        <w:t xml:space="preserve"> </w:t>
      </w:r>
      <w:r>
        <w:t xml:space="preserve">strategy.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325-93. The Senate did not take substantive action on the bill.</w:t>
      </w:r>
      <w:r>
        <w:t xml:space="preserve"> </w:t>
      </w:r>
      <w:r>
        <w:t xml:space="preserve">[House Vote 466,</w:t>
      </w:r>
      <w:r>
        <w:t xml:space="preserve"> </w:t>
      </w:r>
      <w:hyperlink r:id="rId28">
        <w:r>
          <w:rPr>
            <w:rStyle w:val="Hyperlink"/>
          </w:rPr>
          <w:t xml:space="preserve">9/29/22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9/29/22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6965</w:t>
        </w:r>
      </w:hyperlink>
      <w:r>
        <w:t xml:space="preserve">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065.xml" TargetMode="External" /><Relationship Type="http://schemas.openxmlformats.org/officeDocument/2006/relationships/hyperlink" Id="rId28" Target="http://clerk.house.gov/evs/2022/roll466.xml" TargetMode="External" /><Relationship Type="http://schemas.openxmlformats.org/officeDocument/2006/relationships/hyperlink" Id="rId24" Target="http://clerk.house.gov/evs/2024/roll211.xml" TargetMode="External" /><Relationship Type="http://schemas.openxmlformats.org/officeDocument/2006/relationships/hyperlink" Id="rId26" Target="http://www.congress.gov/bill/118th-congress/house-bill/6571/all-actions" TargetMode="External" /><Relationship Type="http://schemas.openxmlformats.org/officeDocument/2006/relationships/hyperlink" Id="rId29" Target="https://plus.cq.com/vote/2022/H/466?17" TargetMode="External" /><Relationship Type="http://schemas.openxmlformats.org/officeDocument/2006/relationships/hyperlink" Id="rId21" Target="https://plus.cq.com/vote/2022/H/65?3" TargetMode="External" /><Relationship Type="http://schemas.openxmlformats.org/officeDocument/2006/relationships/hyperlink" Id="rId25" Target="https://plus.cq.com/vote/2024/H/211?11" TargetMode="External" /><Relationship Type="http://schemas.openxmlformats.org/officeDocument/2006/relationships/hyperlink" Id="rId22" Target="https://www.congress.gov/bill/117th-congress/house-bill/2471/actions" TargetMode="External" /><Relationship Type="http://schemas.openxmlformats.org/officeDocument/2006/relationships/hyperlink" Id="rId30" Target="https://www.congress.gov/bill/117th-congress/house-bill/696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065.xml" TargetMode="External" /><Relationship Type="http://schemas.openxmlformats.org/officeDocument/2006/relationships/hyperlink" Id="rId28" Target="http://clerk.house.gov/evs/2022/roll466.xml" TargetMode="External" /><Relationship Type="http://schemas.openxmlformats.org/officeDocument/2006/relationships/hyperlink" Id="rId24" Target="http://clerk.house.gov/evs/2024/roll211.xml" TargetMode="External" /><Relationship Type="http://schemas.openxmlformats.org/officeDocument/2006/relationships/hyperlink" Id="rId26" Target="http://www.congress.gov/bill/118th-congress/house-bill/6571/all-actions" TargetMode="External" /><Relationship Type="http://schemas.openxmlformats.org/officeDocument/2006/relationships/hyperlink" Id="rId29" Target="https://plus.cq.com/vote/2022/H/466?17" TargetMode="External" /><Relationship Type="http://schemas.openxmlformats.org/officeDocument/2006/relationships/hyperlink" Id="rId21" Target="https://plus.cq.com/vote/2022/H/65?3" TargetMode="External" /><Relationship Type="http://schemas.openxmlformats.org/officeDocument/2006/relationships/hyperlink" Id="rId25" Target="https://plus.cq.com/vote/2024/H/211?11" TargetMode="External" /><Relationship Type="http://schemas.openxmlformats.org/officeDocument/2006/relationships/hyperlink" Id="rId22" Target="https://www.congress.gov/bill/117th-congress/house-bill/2471/actions" TargetMode="External" /><Relationship Type="http://schemas.openxmlformats.org/officeDocument/2006/relationships/hyperlink" Id="rId30" Target="https://www.congress.gov/bill/117th-congress/house-bill/696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