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hate-crimes"/>
    <w:p>
      <w:pPr>
        <w:pStyle w:val="Heading1"/>
      </w:pPr>
      <w:r>
        <w:t xml:space="preserve">Hate Crimes</w:t>
      </w:r>
    </w:p>
    <w:bookmarkStart w:id="23" w:name="emmett-till-anti-lynching-act"/>
    <w:p>
      <w:pPr>
        <w:pStyle w:val="Heading3"/>
      </w:pPr>
      <w:r>
        <w:t xml:space="preserve">Emmett Till Anti-Lynching Act</w:t>
      </w:r>
    </w:p>
    <w:p>
      <w:pPr>
        <w:pStyle w:val="FirstParagraph"/>
      </w:pPr>
      <w:r>
        <w:rPr>
          <w:bCs/>
          <w:b/>
        </w:rPr>
        <w:t xml:space="preserve">2022: Fitzpatrick Voted For The Emmett Till Anti-Lynching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Criminalized Lynching Under Federal Hate Crime Law.</w:t>
      </w:r>
      <w:r>
        <w:t xml:space="preserve"> </w:t>
      </w:r>
      <w:r>
        <w:t xml:space="preserve">In February 2022,</w:t>
      </w:r>
      <w:r>
        <w:t xml:space="preserve"> </w:t>
      </w:r>
      <w:r>
        <w:t xml:space="preserve">according to Congressional Quarterly, Fitzpatrick voted for the Emmett</w:t>
      </w:r>
      <w:r>
        <w:t xml:space="preserve"> </w:t>
      </w:r>
      <w:r>
        <w:t xml:space="preserve">Till Antilynching Act, which would</w:t>
      </w:r>
      <w:r>
        <w:t xml:space="preserve"> </w:t>
      </w:r>
      <w:r>
        <w:t xml:space="preserve">“</w:t>
      </w:r>
      <w:r>
        <w:t xml:space="preserve">criminalize lynching under federal</w:t>
      </w:r>
      <w:r>
        <w:t xml:space="preserve"> </w:t>
      </w:r>
      <w:r>
        <w:t xml:space="preserve">hate crime law. Specifically, the bill would subject any individual who</w:t>
      </w:r>
      <w:r>
        <w:t xml:space="preserve"> </w:t>
      </w:r>
      <w:r>
        <w:t xml:space="preserve">conspires with another person to violate existing federal hate crime law</w:t>
      </w:r>
      <w:r>
        <w:t xml:space="preserve"> </w:t>
      </w:r>
      <w:r>
        <w:t xml:space="preserve">to a maximum prison term of 30 years, a criminal fine, or both, if the</w:t>
      </w:r>
      <w:r>
        <w:t xml:space="preserve"> </w:t>
      </w:r>
      <w:r>
        <w:t xml:space="preserve">crime results in death or serious bodily injury to the victim, or if it</w:t>
      </w:r>
      <w:r>
        <w:t xml:space="preserve"> </w:t>
      </w:r>
      <w:r>
        <w:t xml:space="preserve">includes attempted killing, kidnapping, attempted kidnapping, aggravated</w:t>
      </w:r>
      <w:r>
        <w:t xml:space="preserve"> </w:t>
      </w:r>
      <w:r>
        <w:t xml:space="preserve">sexual abuse or attempted aggravated sexual abuse. The provision would</w:t>
      </w:r>
      <w:r>
        <w:t xml:space="preserve"> </w:t>
      </w:r>
      <w:r>
        <w:t xml:space="preserve">apply to hate crimes defined in existing law, including those based on</w:t>
      </w:r>
      <w:r>
        <w:t xml:space="preserve"> </w:t>
      </w:r>
      <w:r>
        <w:t xml:space="preserve">an individual's actual or perceived race, religion, gender, sexual</w:t>
      </w:r>
      <w:r>
        <w:t xml:space="preserve"> </w:t>
      </w:r>
      <w:r>
        <w:t xml:space="preserve">orientation, disability or national origin.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422-3. The Senate passed the</w:t>
      </w:r>
      <w:r>
        <w:t xml:space="preserve"> </w:t>
      </w:r>
      <w:r>
        <w:t xml:space="preserve">bill, sent it to the President, and ultimately became law. [House Vote</w:t>
      </w:r>
      <w:r>
        <w:t xml:space="preserve"> </w:t>
      </w:r>
      <w:r>
        <w:t xml:space="preserve">47,</w:t>
      </w:r>
      <w:r>
        <w:t xml:space="preserve"> </w:t>
      </w:r>
      <w:hyperlink r:id="rId20">
        <w:r>
          <w:rPr>
            <w:rStyle w:val="Hyperlink"/>
          </w:rPr>
          <w:t xml:space="preserve">2/28/22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2/28/22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47.xml" TargetMode="External" /><Relationship Type="http://schemas.openxmlformats.org/officeDocument/2006/relationships/hyperlink" Id="rId21" Target="https://plus.cq.com/vote/2022/H/47?10" TargetMode="External" /><Relationship Type="http://schemas.openxmlformats.org/officeDocument/2006/relationships/hyperlink" Id="rId22" Target="https://www.congress.gov/bill/117th-congress/house-bill/5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47.xml" TargetMode="External" /><Relationship Type="http://schemas.openxmlformats.org/officeDocument/2006/relationships/hyperlink" Id="rId21" Target="https://plus.cq.com/vote/2022/H/47?10" TargetMode="External" /><Relationship Type="http://schemas.openxmlformats.org/officeDocument/2006/relationships/hyperlink" Id="rId22" Target="https://www.congress.gov/bill/117th-congress/house-bill/5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