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statuary-hall"/>
    <w:p>
      <w:pPr>
        <w:pStyle w:val="Heading1"/>
      </w:pPr>
      <w:r>
        <w:t xml:space="preserve">Statuary Hall</w:t>
      </w:r>
    </w:p>
    <w:bookmarkStart w:id="24" w:name="honoring-u.s.-territory-citizens"/>
    <w:p>
      <w:pPr>
        <w:pStyle w:val="Heading3"/>
      </w:pPr>
      <w:r>
        <w:t xml:space="preserve">Honoring U.S. Territory Citizens</w:t>
      </w:r>
    </w:p>
    <w:p>
      <w:pPr>
        <w:pStyle w:val="FirstParagraph"/>
      </w:pPr>
      <w:r>
        <w:rPr>
          <w:bCs/>
          <w:b/>
        </w:rPr>
        <w:t xml:space="preserve">2021: Fitzpatrick Voted For An Amendment That Would Allow Statues</w:t>
      </w:r>
      <w:r>
        <w:rPr>
          <w:bCs/>
          <w:b/>
        </w:rPr>
        <w:t xml:space="preserve"> </w:t>
      </w:r>
      <w:r>
        <w:rPr>
          <w:bCs/>
          <w:b/>
        </w:rPr>
        <w:t xml:space="preserve">Honoring Citizens Of U.S. Territories In Statuary Hall.</w:t>
      </w:r>
      <w:r>
        <w:t xml:space="preserve"> </w:t>
      </w:r>
      <w:r>
        <w:t xml:space="preserve">In March 2021,</w:t>
      </w:r>
      <w:r>
        <w:t xml:space="preserve"> </w:t>
      </w:r>
      <w:r>
        <w:t xml:space="preserve">Fitzpatrick voted for en bloc amendments no.3 to the For The People Act</w:t>
      </w:r>
      <w:r>
        <w:t xml:space="preserve"> </w:t>
      </w:r>
      <w:r>
        <w:t xml:space="preserve">which would, according to Congressional Quarterly,</w:t>
      </w:r>
      <w:r>
        <w:t xml:space="preserve"> </w:t>
      </w:r>
      <w:r>
        <w:t xml:space="preserve">“</w:t>
      </w:r>
      <w:r>
        <w:t xml:space="preserve">permit the placement</w:t>
      </w:r>
      <w:r>
        <w:t xml:space="preserve"> </w:t>
      </w:r>
      <w:r>
        <w:t xml:space="preserve">of statues honoring citizens of each U.S. territory in Statuary Hall.</w:t>
      </w:r>
      <w:r>
        <w:t xml:space="preserve">”</w:t>
      </w:r>
      <w:r>
        <w:t xml:space="preserve"> </w:t>
      </w:r>
      <w:r>
        <w:t xml:space="preserve">The vote was on adoption of amendments. The House adopted the amendments</w:t>
      </w:r>
      <w:r>
        <w:t xml:space="preserve"> </w:t>
      </w:r>
      <w:r>
        <w:t xml:space="preserve">by a vote of 221-207. [House Vote 55,</w:t>
      </w:r>
      <w:r>
        <w:t xml:space="preserve"> </w:t>
      </w:r>
      <w:hyperlink r:id="rId20">
        <w:r>
          <w:rPr>
            <w:rStyle w:val="Hyperlink"/>
          </w:rPr>
          <w:t xml:space="preserve">3/2/21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3/2/21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20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</w:t>
        </w:r>
      </w:hyperlink>
      <w:r>
        <w:t xml:space="preserve">]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1/roll055.xml" TargetMode="External" /><Relationship Type="http://schemas.openxmlformats.org/officeDocument/2006/relationships/hyperlink" Id="rId21" Target="https://plus.cq.com/vote/2021/H/55?42" TargetMode="External" /><Relationship Type="http://schemas.openxmlformats.org/officeDocument/2006/relationships/hyperlink" Id="rId22" Target="https://www.congress.gov/amendment/117th-congress/house-amendment/20/actions?r=4&amp;s=a" TargetMode="External" /><Relationship Type="http://schemas.openxmlformats.org/officeDocument/2006/relationships/hyperlink" Id="rId23" Target="https://www.congress.gov/bill/117th-congress/house-bill/1/actions?q=%7b%22search%22%3A%5B%22hr1%22%5D%7d&amp;r=1&amp;s=2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1/roll055.xml" TargetMode="External" /><Relationship Type="http://schemas.openxmlformats.org/officeDocument/2006/relationships/hyperlink" Id="rId21" Target="https://plus.cq.com/vote/2021/H/55?42" TargetMode="External" /><Relationship Type="http://schemas.openxmlformats.org/officeDocument/2006/relationships/hyperlink" Id="rId22" Target="https://www.congress.gov/amendment/117th-congress/house-amendment/20/actions?r=4&amp;s=a" TargetMode="External" /><Relationship Type="http://schemas.openxmlformats.org/officeDocument/2006/relationships/hyperlink" Id="rId23" Target="https://www.congress.gov/bill/117th-congress/house-bill/1/actions?q=%7b%22search%22%3A%5B%22hr1%22%5D%7d&amp;r=1&amp;s=2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2026-01-27T02:08:54Z</dcterms:created>
  <dcterms:modified xsi:type="dcterms:W3CDTF">2026-01-27T02:08:54Z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