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ethics-reports"/>
    <w:p>
      <w:pPr>
        <w:pStyle w:val="Heading1"/>
      </w:pPr>
      <w:r>
        <w:t xml:space="preserve">Ethics Reports</w:t>
      </w:r>
    </w:p>
    <w:bookmarkStart w:id="23" w:name="matt-gaetz"/>
    <w:p>
      <w:pPr>
        <w:pStyle w:val="Heading3"/>
      </w:pPr>
      <w:r>
        <w:t xml:space="preserve">Matt Gaetz</w:t>
      </w:r>
    </w:p>
    <w:p>
      <w:pPr>
        <w:pStyle w:val="FirstParagraph"/>
      </w:pPr>
      <w:r>
        <w:rPr>
          <w:bCs/>
          <w:b/>
        </w:rPr>
        <w:t xml:space="preserve">2024: Fitzpatrick Effectively Voted Against Releasing The Ethics</w:t>
      </w:r>
      <w:r>
        <w:rPr>
          <w:bCs/>
          <w:b/>
        </w:rPr>
        <w:t xml:space="preserve"> </w:t>
      </w:r>
      <w:r>
        <w:rPr>
          <w:bCs/>
          <w:b/>
        </w:rPr>
        <w:t xml:space="preserve">Report On Matt Gaetz.</w:t>
      </w:r>
      <w:r>
        <w:t xml:space="preserve"> </w:t>
      </w:r>
      <w:r>
        <w:t xml:space="preserve">In December 2024, Fitzpatrick voted for ,</w:t>
      </w:r>
      <w:r>
        <w:t xml:space="preserve"> </w:t>
      </w:r>
      <w:r>
        <w:t xml:space="preserve">according to Congressional Quarterly, the</w:t>
      </w:r>
      <w:r>
        <w:t xml:space="preserve"> </w:t>
      </w:r>
      <w:r>
        <w:t xml:space="preserve">“</w:t>
      </w:r>
      <w:r>
        <w:t xml:space="preserve">motion to refer to the House</w:t>
      </w:r>
      <w:r>
        <w:t xml:space="preserve"> </w:t>
      </w:r>
      <w:r>
        <w:t xml:space="preserve">Ethics Committee the resolution directing the Committee on Ethics of the</w:t>
      </w:r>
      <w:r>
        <w:t xml:space="preserve"> </w:t>
      </w:r>
      <w:r>
        <w:t xml:space="preserve">House of Representatives to release to the public the committee’s report</w:t>
      </w:r>
      <w:r>
        <w:t xml:space="preserve"> </w:t>
      </w:r>
      <w:r>
        <w:t xml:space="preserve">on its investigation into allegations against former Representative Matt</w:t>
      </w:r>
      <w:r>
        <w:t xml:space="preserve"> </w:t>
      </w:r>
      <w:r>
        <w:t xml:space="preserve">Gaetz.</w:t>
      </w:r>
      <w:r>
        <w:t xml:space="preserve">”</w:t>
      </w:r>
      <w:r>
        <w:t xml:space="preserve"> </w:t>
      </w:r>
      <w:r>
        <w:t xml:space="preserve">The House agreed to the motion by a vote of 206 to 198. [House</w:t>
      </w:r>
      <w:r>
        <w:t xml:space="preserve"> </w:t>
      </w:r>
      <w:r>
        <w:t xml:space="preserve">Vote 490,</w:t>
      </w:r>
      <w:r>
        <w:t xml:space="preserve"> </w:t>
      </w:r>
      <w:hyperlink r:id="rId20">
        <w:r>
          <w:rPr>
            <w:rStyle w:val="Hyperlink"/>
          </w:rPr>
          <w:t xml:space="preserve">12/5/24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12/5/24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490.xml" TargetMode="External" /><Relationship Type="http://schemas.openxmlformats.org/officeDocument/2006/relationships/hyperlink" Id="rId21" Target="https://plus.cq.com/vote/2024/H/490?4" TargetMode="External" /><Relationship Type="http://schemas.openxmlformats.org/officeDocument/2006/relationships/hyperlink" Id="rId22" Target="https://www.congress.gov/bill/118th-congress/house-resolution/160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490.xml" TargetMode="External" /><Relationship Type="http://schemas.openxmlformats.org/officeDocument/2006/relationships/hyperlink" Id="rId21" Target="https://plus.cq.com/vote/2024/H/490?4" TargetMode="External" /><Relationship Type="http://schemas.openxmlformats.org/officeDocument/2006/relationships/hyperlink" Id="rId22" Target="https://www.congress.gov/bill/118th-congress/house-resolution/160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