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9" w:name="congressional-budget-office"/>
    <w:p>
      <w:pPr>
        <w:pStyle w:val="Heading1"/>
      </w:pPr>
      <w:r>
        <w:t xml:space="preserve">Congressional Budget Office</w:t>
      </w:r>
    </w:p>
    <w:bookmarkStart w:id="24" w:name="funding"/>
    <w:p>
      <w:pPr>
        <w:pStyle w:val="Heading3"/>
      </w:pPr>
      <w:r>
        <w:t xml:space="preserve">Funding</w:t>
      </w:r>
    </w:p>
    <w:p>
      <w:pPr>
        <w:pStyle w:val="FirstParagraph"/>
      </w:pPr>
      <w:r>
        <w:rPr>
          <w:bCs/>
          <w:b/>
        </w:rPr>
        <w:t xml:space="preserve">2017: Fitzpatrick Voted Against Cutting Staff At The Congressional</w:t>
      </w:r>
      <w:r>
        <w:rPr>
          <w:bCs/>
          <w:b/>
        </w:rPr>
        <w:t xml:space="preserve"> </w:t>
      </w:r>
      <w:r>
        <w:rPr>
          <w:bCs/>
          <w:b/>
        </w:rPr>
        <w:t xml:space="preserve">Budget Office.</w:t>
      </w:r>
      <w:r>
        <w:t xml:space="preserve"> </w:t>
      </w:r>
      <w:r>
        <w:t xml:space="preserve">In July 2017, Fitzpatrick voted against an amendment</w:t>
      </w:r>
      <w:r>
        <w:t xml:space="preserve"> </w:t>
      </w:r>
      <w:r>
        <w:t xml:space="preserve">that would have, according to Congressional Quarterly,</w:t>
      </w:r>
      <w:r>
        <w:t xml:space="preserve"> </w:t>
      </w:r>
      <w:r>
        <w:t xml:space="preserve">“</w:t>
      </w:r>
      <w:r>
        <w:t xml:space="preserve">decrease[d] by</w:t>
      </w:r>
      <w:r>
        <w:t xml:space="preserve"> </w:t>
      </w:r>
      <w:r>
        <w:t xml:space="preserve">$25.4 million funding for staffing and operations at the Congressional</w:t>
      </w:r>
      <w:r>
        <w:t xml:space="preserve"> </w:t>
      </w:r>
      <w:r>
        <w:t xml:space="preserve">Budget Office.</w:t>
      </w:r>
      <w:r>
        <w:t xml:space="preserve">”</w:t>
      </w:r>
      <w:r>
        <w:t xml:space="preserve"> </w:t>
      </w:r>
      <w:r>
        <w:t xml:space="preserve">The underlying legislation was an FY 18</w:t>
      </w:r>
      <w:r>
        <w:t xml:space="preserve"> </w:t>
      </w:r>
      <w:r>
        <w:t xml:space="preserve">‘</w:t>
      </w:r>
      <w:r>
        <w:t xml:space="preserve">minibus</w:t>
      </w:r>
      <w:r>
        <w:t xml:space="preserve">’</w:t>
      </w:r>
      <w:r>
        <w:t xml:space="preserve"> </w:t>
      </w:r>
      <w:r>
        <w:t xml:space="preserve">appropriations bill. The House rejected the amendment by a vote of 107</w:t>
      </w:r>
      <w:r>
        <w:t xml:space="preserve"> </w:t>
      </w:r>
      <w:r>
        <w:t xml:space="preserve">to 314. [House Vote 416,</w:t>
      </w:r>
      <w:r>
        <w:t xml:space="preserve"> </w:t>
      </w:r>
      <w:hyperlink r:id="rId20">
        <w:r>
          <w:rPr>
            <w:rStyle w:val="Hyperlink"/>
          </w:rPr>
          <w:t xml:space="preserve">7/26/17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7/26/17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3219</w:t>
        </w:r>
      </w:hyperlink>
      <w:r>
        <w:t xml:space="preserve">]</w:t>
      </w:r>
    </w:p>
    <w:bookmarkEnd w:id="24"/>
    <w:bookmarkStart w:id="28" w:name="responsibility"/>
    <w:p>
      <w:pPr>
        <w:pStyle w:val="Heading3"/>
      </w:pPr>
      <w:r>
        <w:t xml:space="preserve">Responsibility</w:t>
      </w:r>
    </w:p>
    <w:p>
      <w:pPr>
        <w:pStyle w:val="FirstParagraph"/>
      </w:pPr>
      <w:r>
        <w:rPr>
          <w:bCs/>
          <w:b/>
        </w:rPr>
        <w:t xml:space="preserve">2017: Fitzpatrick Voted Against Eliminating The Congressional Budget</w:t>
      </w:r>
      <w:r>
        <w:rPr>
          <w:bCs/>
          <w:b/>
        </w:rPr>
        <w:t xml:space="preserve"> </w:t>
      </w:r>
      <w:r>
        <w:rPr>
          <w:bCs/>
          <w:b/>
        </w:rPr>
        <w:t xml:space="preserve">Office Budget Analysis Department.</w:t>
      </w:r>
      <w:r>
        <w:t xml:space="preserve"> </w:t>
      </w:r>
      <w:r>
        <w:t xml:space="preserve">In July 2017, Fitzpatrick voted</w:t>
      </w:r>
      <w:r>
        <w:t xml:space="preserve"> </w:t>
      </w:r>
      <w:r>
        <w:t xml:space="preserve">against an amendment that would have, according to Congressional</w:t>
      </w:r>
      <w:r>
        <w:t xml:space="preserve"> </w:t>
      </w:r>
      <w:r>
        <w:t xml:space="preserve">Quarterly,</w:t>
      </w:r>
      <w:r>
        <w:t xml:space="preserve"> </w:t>
      </w:r>
      <w:r>
        <w:t xml:space="preserve">“</w:t>
      </w:r>
      <w:r>
        <w:t xml:space="preserve">eliminate[d] the budget analysis division of the</w:t>
      </w:r>
      <w:r>
        <w:t xml:space="preserve"> </w:t>
      </w:r>
      <w:r>
        <w:t xml:space="preserve">Congressional Budget Office and would transfer the responsibilities of</w:t>
      </w:r>
      <w:r>
        <w:t xml:space="preserve"> </w:t>
      </w:r>
      <w:r>
        <w:t xml:space="preserve">the division to the CBO’s office of the director.</w:t>
      </w:r>
      <w:r>
        <w:t xml:space="preserve">”</w:t>
      </w:r>
      <w:r>
        <w:t xml:space="preserve"> </w:t>
      </w:r>
      <w:r>
        <w:t xml:space="preserve">The underlying</w:t>
      </w:r>
      <w:r>
        <w:t xml:space="preserve"> </w:t>
      </w:r>
      <w:r>
        <w:t xml:space="preserve">legislation was an FY 18</w:t>
      </w:r>
      <w:r>
        <w:t xml:space="preserve"> </w:t>
      </w:r>
      <w:r>
        <w:t xml:space="preserve">‘</w:t>
      </w:r>
      <w:r>
        <w:t xml:space="preserve">minibus</w:t>
      </w:r>
      <w:r>
        <w:t xml:space="preserve">’</w:t>
      </w:r>
      <w:r>
        <w:t xml:space="preserve"> </w:t>
      </w:r>
      <w:r>
        <w:t xml:space="preserve">appropriations bill. The House</w:t>
      </w:r>
      <w:r>
        <w:t xml:space="preserve"> </w:t>
      </w:r>
      <w:r>
        <w:t xml:space="preserve">rejected the amendment by a vote of 116 to 309. [House Vote 417,</w:t>
      </w:r>
      <w:r>
        <w:t xml:space="preserve"> </w:t>
      </w:r>
      <w:hyperlink r:id="rId25">
        <w:r>
          <w:rPr>
            <w:rStyle w:val="Hyperlink"/>
          </w:rPr>
          <w:t xml:space="preserve">7/26/17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7/26/17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7">
        <w:r>
          <w:rPr>
            <w:rStyle w:val="Hyperlink"/>
          </w:rPr>
          <w:t xml:space="preserve">H. 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217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3219</w:t>
        </w:r>
      </w:hyperlink>
      <w:r>
        <w:t xml:space="preserve">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7/roll416.xml" TargetMode="External" /><Relationship Type="http://schemas.openxmlformats.org/officeDocument/2006/relationships/hyperlink" Id="rId25" Target="http://clerk.house.gov/evs/2017/roll417.xml" TargetMode="External" /><Relationship Type="http://schemas.openxmlformats.org/officeDocument/2006/relationships/hyperlink" Id="rId21" Target="http://www.cq.com/vote/2017/H/416?8" TargetMode="External" /><Relationship Type="http://schemas.openxmlformats.org/officeDocument/2006/relationships/hyperlink" Id="rId26" Target="http://www.cq.com/vote/2017/H/417?8" TargetMode="External" /><Relationship Type="http://schemas.openxmlformats.org/officeDocument/2006/relationships/hyperlink" Id="rId22" Target="https://www.congress.gov/amendment/115th-congress/house-amendment/216/actions" TargetMode="External" /><Relationship Type="http://schemas.openxmlformats.org/officeDocument/2006/relationships/hyperlink" Id="rId27" Target="https://www.congress.gov/amendment/115th-congress/house-amendment/217/actions" TargetMode="External" /><Relationship Type="http://schemas.openxmlformats.org/officeDocument/2006/relationships/hyperlink" Id="rId23" Target="https://www.congress.gov/bill/115th-congress/house-bill/3219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7/roll416.xml" TargetMode="External" /><Relationship Type="http://schemas.openxmlformats.org/officeDocument/2006/relationships/hyperlink" Id="rId25" Target="http://clerk.house.gov/evs/2017/roll417.xml" TargetMode="External" /><Relationship Type="http://schemas.openxmlformats.org/officeDocument/2006/relationships/hyperlink" Id="rId21" Target="http://www.cq.com/vote/2017/H/416?8" TargetMode="External" /><Relationship Type="http://schemas.openxmlformats.org/officeDocument/2006/relationships/hyperlink" Id="rId26" Target="http://www.cq.com/vote/2017/H/417?8" TargetMode="External" /><Relationship Type="http://schemas.openxmlformats.org/officeDocument/2006/relationships/hyperlink" Id="rId22" Target="https://www.congress.gov/amendment/115th-congress/house-amendment/216/actions" TargetMode="External" /><Relationship Type="http://schemas.openxmlformats.org/officeDocument/2006/relationships/hyperlink" Id="rId27" Target="https://www.congress.gov/amendment/115th-congress/house-amendment/217/actions" TargetMode="External" /><Relationship Type="http://schemas.openxmlformats.org/officeDocument/2006/relationships/hyperlink" Id="rId23" Target="https://www.congress.gov/bill/115th-congress/house-bill/3219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2026-01-27T02:08:54Z</dcterms:created>
  <dcterms:modified xsi:type="dcterms:W3CDTF">2026-01-27T02:08:54Z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