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campaign-finance-reform"/>
    <w:p>
      <w:pPr>
        <w:pStyle w:val="Heading1"/>
      </w:pPr>
      <w:r>
        <w:t xml:space="preserve">Campaign Finance Reform</w:t>
      </w:r>
    </w:p>
    <w:bookmarkStart w:id="24" w:name="corporate-donations"/>
    <w:p>
      <w:pPr>
        <w:pStyle w:val="Heading3"/>
      </w:pPr>
      <w:r>
        <w:t xml:space="preserve">Corporate Donations</w:t>
      </w:r>
    </w:p>
    <w:p>
      <w:pPr>
        <w:pStyle w:val="FirstParagraph"/>
      </w:pPr>
      <w:r>
        <w:rPr>
          <w:bCs/>
          <w:b/>
        </w:rPr>
        <w:t xml:space="preserve">2019: Fitzpatrick Voted Against Preventing Corporate Campaign</w:t>
      </w:r>
      <w:r>
        <w:rPr>
          <w:bCs/>
          <w:b/>
        </w:rPr>
        <w:t xml:space="preserve"> </w:t>
      </w:r>
      <w:r>
        <w:rPr>
          <w:bCs/>
          <w:b/>
        </w:rPr>
        <w:t xml:space="preserve">Expenditures Except If The Corporation Has A Method To Learn The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Views Of Its Shareholders.</w:t>
      </w:r>
      <w:r>
        <w:t xml:space="preserve"> </w:t>
      </w:r>
      <w:r>
        <w:t xml:space="preserve">If March 2019, Fitzpatrick voted</w:t>
      </w:r>
      <w:r>
        <w:t xml:space="preserve"> </w:t>
      </w:r>
      <w:r>
        <w:t xml:space="preserve">against an amendment that would, according to Congressional Quarterly,</w:t>
      </w:r>
      <w:r>
        <w:t xml:space="preserve"> </w:t>
      </w:r>
      <w:r>
        <w:t xml:space="preserve">“</w:t>
      </w:r>
      <w:r>
        <w:t xml:space="preserve">prevent[ed] corporate campaign expenditures unless the corporation in</w:t>
      </w:r>
      <w:r>
        <w:t xml:space="preserve"> </w:t>
      </w:r>
      <w:r>
        <w:t xml:space="preserve">question has established a system by which the the [sic] political</w:t>
      </w:r>
      <w:r>
        <w:t xml:space="preserve"> </w:t>
      </w:r>
      <w:r>
        <w:t xml:space="preserve">views of its shareholders could be assessed.</w:t>
      </w:r>
      <w:r>
        <w:t xml:space="preserve">”</w:t>
      </w:r>
      <w:r>
        <w:t xml:space="preserve"> </w:t>
      </w:r>
      <w:r>
        <w:t xml:space="preserve">The underlying bill was</w:t>
      </w:r>
      <w:r>
        <w:t xml:space="preserve"> </w:t>
      </w:r>
      <w:r>
        <w:t xml:space="preserve">H.R. 1, the For the People Act of 2019, which would reformed the</w:t>
      </w:r>
      <w:r>
        <w:t xml:space="preserve"> </w:t>
      </w:r>
      <w:r>
        <w:t xml:space="preserve">electoral system and instituted new ethical rules for government</w:t>
      </w:r>
      <w:r>
        <w:t xml:space="preserve"> </w:t>
      </w:r>
      <w:r>
        <w:t xml:space="preserve">officials. The House agreed to the amendment by a vote of 219 to 215.</w:t>
      </w:r>
      <w:r>
        <w:t xml:space="preserve"> </w:t>
      </w:r>
      <w:r>
        <w:t xml:space="preserve">The House later passed the underlying bill. [House Vote 109,</w:t>
      </w:r>
      <w:r>
        <w:t xml:space="preserve"> </w:t>
      </w:r>
      <w:hyperlink r:id="rId20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Start w:id="28" w:name="donor-transparency"/>
    <w:p>
      <w:pPr>
        <w:pStyle w:val="Heading3"/>
      </w:pPr>
      <w:r>
        <w:t xml:space="preserve">Donor Transparency</w:t>
      </w:r>
    </w:p>
    <w:p>
      <w:pPr>
        <w:pStyle w:val="FirstParagraph"/>
      </w:pPr>
      <w:r>
        <w:rPr>
          <w:bCs/>
          <w:b/>
        </w:rPr>
        <w:t xml:space="preserve">2019: Fitzpatrick Effectively Voted Against Prohibiting The SEC From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Companies To Disclose Contributions To Tax-Exempt Groups.</w:t>
      </w:r>
      <w:r>
        <w:t xml:space="preserve"> </w:t>
      </w:r>
      <w:r>
        <w:t xml:space="preserve">If</w:t>
      </w:r>
      <w:r>
        <w:t xml:space="preserve"> </w:t>
      </w:r>
      <w:r>
        <w:t xml:space="preserve">March 2019, Fitzpatrick voted against an amendment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effectively maintain existing law that</w:t>
      </w:r>
      <w:r>
        <w:t xml:space="preserve"> </w:t>
      </w:r>
      <w:r>
        <w:t xml:space="preserve">prohibits the Securities and Exchange Commission from using agency funds</w:t>
      </w:r>
      <w:r>
        <w:t xml:space="preserve"> </w:t>
      </w:r>
      <w:r>
        <w:t xml:space="preserve">to require certain financial disclosures, including political</w:t>
      </w:r>
      <w:r>
        <w:t xml:space="preserve"> </w:t>
      </w:r>
      <w:r>
        <w:t xml:space="preserve">contributions; the amendment would strike language in the bill that</w:t>
      </w:r>
      <w:r>
        <w:t xml:space="preserve"> </w:t>
      </w:r>
      <w:r>
        <w:t xml:space="preserve">would repeal this prohibition.</w:t>
      </w:r>
      <w:r>
        <w:t xml:space="preserve">”</w:t>
      </w:r>
      <w:r>
        <w:t xml:space="preserve"> </w:t>
      </w:r>
      <w:r>
        <w:t xml:space="preserve">The underlying bill was H.R. 1, the For</w:t>
      </w:r>
      <w:r>
        <w:t xml:space="preserve"> </w:t>
      </w:r>
      <w:r>
        <w:t xml:space="preserve">the People Act of 2019, which would reformed the electoral system and</w:t>
      </w:r>
      <w:r>
        <w:t xml:space="preserve"> </w:t>
      </w:r>
      <w:r>
        <w:t xml:space="preserve">instituted new ethical rules for government officials. The House</w:t>
      </w:r>
      <w:r>
        <w:t xml:space="preserve"> </w:t>
      </w:r>
      <w:r>
        <w:t xml:space="preserve">rejected the amendment by a vote of 195 to 237. [House Vote 114,</w:t>
      </w:r>
      <w:r>
        <w:t xml:space="preserve"> </w:t>
      </w:r>
      <w:hyperlink r:id="rId25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8"/>
    <w:bookmarkStart w:id="33" w:name="Xa2ff54d6c3067edad037f9fd0c56c854d3f52a0"/>
    <w:p>
      <w:pPr>
        <w:pStyle w:val="Heading3"/>
      </w:pPr>
      <w:r>
        <w:t xml:space="preserve">Political Contribution Disclosure To Tax Exempt Organizations</w:t>
      </w:r>
    </w:p>
    <w:p>
      <w:pPr>
        <w:pStyle w:val="FirstParagraph"/>
      </w:pPr>
      <w:r>
        <w:rPr>
          <w:bCs/>
          <w:b/>
        </w:rPr>
        <w:t xml:space="preserve">2018: Fitzpatrick Voted Against Removing Language That Continued A</w:t>
      </w:r>
      <w:r>
        <w:rPr>
          <w:bCs/>
          <w:b/>
        </w:rPr>
        <w:t xml:space="preserve"> </w:t>
      </w:r>
      <w:r>
        <w:rPr>
          <w:bCs/>
          <w:b/>
        </w:rPr>
        <w:t xml:space="preserve">Current Policy Blocking An SEC Rule On Political Spending Disclosure.</w:t>
      </w:r>
      <w:r>
        <w:t xml:space="preserve"> </w:t>
      </w:r>
      <w:r>
        <w:t xml:space="preserve">In July 2018,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remove[d] the bill’s ban on the</w:t>
      </w:r>
      <w:r>
        <w:t xml:space="preserve"> </w:t>
      </w:r>
      <w:r>
        <w:t xml:space="preserve">use of funds by the Securities and Exchange Commission to issue rules on</w:t>
      </w:r>
      <w:r>
        <w:t xml:space="preserve"> </w:t>
      </w:r>
      <w:r>
        <w:t xml:space="preserve">the disclosure of political contributions.</w:t>
      </w:r>
      <w:r>
        <w:t xml:space="preserve">”</w:t>
      </w:r>
      <w:r>
        <w:t xml:space="preserve"> </w:t>
      </w:r>
      <w:r>
        <w:t xml:space="preserve">The underlying bill was an</w:t>
      </w:r>
      <w:r>
        <w:t xml:space="preserve"> </w:t>
      </w:r>
      <w:r>
        <w:t xml:space="preserve">FY 2019 Interior, Environment and Financial Services appropriations</w:t>
      </w:r>
      <w:r>
        <w:t xml:space="preserve"> </w:t>
      </w:r>
      <w:r>
        <w:t xml:space="preserve">bill. The House rejected the amendment by a vote of 190 to 224. [House</w:t>
      </w:r>
      <w:r>
        <w:t xml:space="preserve"> </w:t>
      </w:r>
      <w:r>
        <w:t xml:space="preserve">Vote 358,</w:t>
      </w:r>
      <w:r>
        <w:t xml:space="preserve"> </w:t>
      </w:r>
      <w:hyperlink r:id="rId29">
        <w:r>
          <w:rPr>
            <w:rStyle w:val="Hyperlink"/>
          </w:rPr>
          <w:t xml:space="preserve">7/18/18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7/18/18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6174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8/roll358.xml" TargetMode="External" /><Relationship Type="http://schemas.openxmlformats.org/officeDocument/2006/relationships/hyperlink" Id="rId20" Target="http://clerk.house.gov/evs/2019/roll109.xml" TargetMode="External" /><Relationship Type="http://schemas.openxmlformats.org/officeDocument/2006/relationships/hyperlink" Id="rId25" Target="http://clerk.house.gov/evs/2019/roll114.xml" TargetMode="External" /><Relationship Type="http://schemas.openxmlformats.org/officeDocument/2006/relationships/hyperlink" Id="rId30" Target="http://cq.com/vote/2018/H/358?5" TargetMode="External" /><Relationship Type="http://schemas.openxmlformats.org/officeDocument/2006/relationships/hyperlink" Id="rId21" Target="http://cq.com/vote/2019/H/109?0" TargetMode="External" /><Relationship Type="http://schemas.openxmlformats.org/officeDocument/2006/relationships/hyperlink" Id="rId26" Target="http://cq.com/vote/2019/H/114?0" TargetMode="External" /><Relationship Type="http://schemas.openxmlformats.org/officeDocument/2006/relationships/hyperlink" Id="rId31" Target="https://www.congress.gov/amendment/115th-congress/house-amendment/944/actions" TargetMode="External" /><Relationship Type="http://schemas.openxmlformats.org/officeDocument/2006/relationships/hyperlink" Id="rId22" Target="https://www.congress.gov/amendment/116th-congress/house-amendment/56/actions" TargetMode="External" /><Relationship Type="http://schemas.openxmlformats.org/officeDocument/2006/relationships/hyperlink" Id="rId27" Target="https://www.congress.gov/amendment/116th-congress/house-amendment/85/actions" TargetMode="External" /><Relationship Type="http://schemas.openxmlformats.org/officeDocument/2006/relationships/hyperlink" Id="rId32" Target="https://www.congress.gov/bill/115th-congress/house-bill/6147/all-actions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8/roll358.xml" TargetMode="External" /><Relationship Type="http://schemas.openxmlformats.org/officeDocument/2006/relationships/hyperlink" Id="rId20" Target="http://clerk.house.gov/evs/2019/roll109.xml" TargetMode="External" /><Relationship Type="http://schemas.openxmlformats.org/officeDocument/2006/relationships/hyperlink" Id="rId25" Target="http://clerk.house.gov/evs/2019/roll114.xml" TargetMode="External" /><Relationship Type="http://schemas.openxmlformats.org/officeDocument/2006/relationships/hyperlink" Id="rId30" Target="http://cq.com/vote/2018/H/358?5" TargetMode="External" /><Relationship Type="http://schemas.openxmlformats.org/officeDocument/2006/relationships/hyperlink" Id="rId21" Target="http://cq.com/vote/2019/H/109?0" TargetMode="External" /><Relationship Type="http://schemas.openxmlformats.org/officeDocument/2006/relationships/hyperlink" Id="rId26" Target="http://cq.com/vote/2019/H/114?0" TargetMode="External" /><Relationship Type="http://schemas.openxmlformats.org/officeDocument/2006/relationships/hyperlink" Id="rId31" Target="https://www.congress.gov/amendment/115th-congress/house-amendment/944/actions" TargetMode="External" /><Relationship Type="http://schemas.openxmlformats.org/officeDocument/2006/relationships/hyperlink" Id="rId22" Target="https://www.congress.gov/amendment/116th-congress/house-amendment/56/actions" TargetMode="External" /><Relationship Type="http://schemas.openxmlformats.org/officeDocument/2006/relationships/hyperlink" Id="rId27" Target="https://www.congress.gov/amendment/116th-congress/house-amendment/85/actions" TargetMode="External" /><Relationship Type="http://schemas.openxmlformats.org/officeDocument/2006/relationships/hyperlink" Id="rId32" Target="https://www.congress.gov/bill/115th-congress/house-bill/6147/all-actions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