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udget"/>
    <w:p>
      <w:pPr>
        <w:pStyle w:val="Heading1"/>
      </w:pPr>
      <w:r>
        <w:t xml:space="preserve">Budget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American Rescue Plan Of 2021</w:t>
      </w:r>
    </w:p>
    <w:p>
      <w:pPr>
        <w:numPr>
          <w:ilvl w:val="0"/>
          <w:numId w:val="1001"/>
        </w:numPr>
        <w:pStyle w:val="Compact"/>
      </w:pPr>
      <w:r>
        <w:t xml:space="preserve">Budget Policy</w:t>
      </w:r>
    </w:p>
    <w:p>
      <w:pPr>
        <w:numPr>
          <w:ilvl w:val="0"/>
          <w:numId w:val="1001"/>
        </w:numPr>
        <w:pStyle w:val="Compact"/>
      </w:pPr>
      <w:r>
        <w:t xml:space="preserve">Build Back Better Act</w:t>
      </w:r>
    </w:p>
    <w:p>
      <w:pPr>
        <w:numPr>
          <w:ilvl w:val="0"/>
          <w:numId w:val="1001"/>
        </w:numPr>
        <w:pStyle w:val="Compact"/>
      </w:pPr>
      <w:r>
        <w:t xml:space="preserve">Debt Limit</w:t>
      </w:r>
    </w:p>
    <w:p>
      <w:pPr>
        <w:numPr>
          <w:ilvl w:val="0"/>
          <w:numId w:val="1001"/>
        </w:numPr>
        <w:pStyle w:val="Compact"/>
      </w:pPr>
      <w:r>
        <w:t xml:space="preserve">FY 2017</w:t>
      </w:r>
    </w:p>
    <w:p>
      <w:pPr>
        <w:numPr>
          <w:ilvl w:val="0"/>
          <w:numId w:val="1001"/>
        </w:numPr>
        <w:pStyle w:val="Compact"/>
      </w:pPr>
      <w:r>
        <w:t xml:space="preserve">FY 2018</w:t>
      </w:r>
    </w:p>
    <w:p>
      <w:pPr>
        <w:numPr>
          <w:ilvl w:val="0"/>
          <w:numId w:val="1001"/>
        </w:numPr>
        <w:pStyle w:val="Compact"/>
      </w:pPr>
      <w:r>
        <w:t xml:space="preserve">FY 2019</w:t>
      </w:r>
    </w:p>
    <w:p>
      <w:pPr>
        <w:numPr>
          <w:ilvl w:val="0"/>
          <w:numId w:val="1001"/>
        </w:numPr>
        <w:pStyle w:val="Compact"/>
      </w:pPr>
      <w:r>
        <w:t xml:space="preserve">FY 2020</w:t>
      </w:r>
    </w:p>
    <w:p>
      <w:pPr>
        <w:numPr>
          <w:ilvl w:val="0"/>
          <w:numId w:val="1001"/>
        </w:numPr>
        <w:pStyle w:val="Compact"/>
      </w:pPr>
      <w:r>
        <w:t xml:space="preserve">FY 2021</w:t>
      </w:r>
    </w:p>
    <w:p>
      <w:pPr>
        <w:numPr>
          <w:ilvl w:val="0"/>
          <w:numId w:val="1001"/>
        </w:numPr>
        <w:pStyle w:val="Compact"/>
      </w:pPr>
      <w:r>
        <w:t xml:space="preserve">FY 2022</w:t>
      </w:r>
    </w:p>
    <w:p>
      <w:pPr>
        <w:numPr>
          <w:ilvl w:val="0"/>
          <w:numId w:val="1001"/>
        </w:numPr>
        <w:pStyle w:val="Compact"/>
      </w:pPr>
      <w:r>
        <w:t xml:space="preserve">FY 2023</w:t>
      </w:r>
    </w:p>
    <w:p>
      <w:pPr>
        <w:numPr>
          <w:ilvl w:val="0"/>
          <w:numId w:val="1001"/>
        </w:numPr>
        <w:pStyle w:val="Compact"/>
      </w:pPr>
      <w:r>
        <w:t xml:space="preserve">FY 2024</w:t>
      </w:r>
    </w:p>
    <w:p>
      <w:pPr>
        <w:numPr>
          <w:ilvl w:val="0"/>
          <w:numId w:val="1001"/>
        </w:numPr>
        <w:pStyle w:val="Compact"/>
      </w:pPr>
      <w:r>
        <w:t xml:space="preserve">FY 2025</w:t>
      </w:r>
    </w:p>
    <w:p>
      <w:pPr>
        <w:numPr>
          <w:ilvl w:val="0"/>
          <w:numId w:val="1001"/>
        </w:numPr>
        <w:pStyle w:val="Compact"/>
      </w:pPr>
      <w:r>
        <w:t xml:space="preserve">Inflation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