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securities-and-exchange-commission-sec"/>
    <w:p>
      <w:pPr>
        <w:pStyle w:val="Heading1"/>
      </w:pPr>
      <w:r>
        <w:t xml:space="preserve">Securities And Exchange Commission (SEC)</w:t>
      </w:r>
    </w:p>
    <w:bookmarkStart w:id="23" w:name="disclosure-forms"/>
    <w:p>
      <w:pPr>
        <w:pStyle w:val="Heading3"/>
      </w:pPr>
      <w:r>
        <w:t xml:space="preserve">Disclosure Forms</w:t>
      </w:r>
    </w:p>
    <w:p>
      <w:pPr>
        <w:pStyle w:val="FirstParagraph"/>
      </w:pPr>
      <w:r>
        <w:rPr>
          <w:bCs/>
          <w:b/>
        </w:rPr>
        <w:t xml:space="preserve">2020: Fitzpatrick Voted For Requiring Public Companies To Disclose</w:t>
      </w:r>
      <w:r>
        <w:rPr>
          <w:bCs/>
          <w:b/>
        </w:rPr>
        <w:t xml:space="preserve"> </w:t>
      </w:r>
      <w:r>
        <w:rPr>
          <w:bCs/>
          <w:b/>
        </w:rPr>
        <w:t xml:space="preserve">Their Ties To Forced Labor Camps In China’s Xinjiang.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2020,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publicly traded companies to disclose</w:t>
      </w:r>
      <w:r>
        <w:t xml:space="preserve"> </w:t>
      </w:r>
      <w:r>
        <w:t xml:space="preserve">information to the Securities and Exchange Commission on their supply</w:t>
      </w:r>
      <w:r>
        <w:t xml:space="preserve"> </w:t>
      </w:r>
      <w:r>
        <w:t xml:space="preserve">chains with regard to any goods sourced from the Xinjiang Uighur</w:t>
      </w:r>
      <w:r>
        <w:t xml:space="preserve"> </w:t>
      </w:r>
      <w:r>
        <w:t xml:space="preserve">autonomous region of China. Specifically, it would require the SEC to</w:t>
      </w:r>
      <w:r>
        <w:t xml:space="preserve"> </w:t>
      </w:r>
      <w:r>
        <w:t xml:space="preserve">issue rules, within 180 days of enactment, requiring security issuers</w:t>
      </w:r>
      <w:r>
        <w:t xml:space="preserve"> </w:t>
      </w:r>
      <w:r>
        <w:t xml:space="preserve">filing annual reports or proxy statements to disclose whether the</w:t>
      </w:r>
      <w:r>
        <w:t xml:space="preserve"> </w:t>
      </w:r>
      <w:r>
        <w:t xml:space="preserve">issuer, or any affiliate, engaged with another entity to import</w:t>
      </w:r>
      <w:r>
        <w:t xml:space="preserve"> </w:t>
      </w:r>
      <w:r>
        <w:t xml:space="preserve">manufactured goods -- including electronics, food products, textiles,</w:t>
      </w:r>
      <w:r>
        <w:t xml:space="preserve"> </w:t>
      </w:r>
      <w:r>
        <w:t xml:space="preserve">shoes and teas -- that originated in or contain materials sourced in</w:t>
      </w:r>
      <w:r>
        <w:t xml:space="preserve"> </w:t>
      </w:r>
      <w:r>
        <w:t xml:space="preserve">the Xinjiang region and whether any such goods originated in forced</w:t>
      </w:r>
      <w:r>
        <w:t xml:space="preserve"> </w:t>
      </w:r>
      <w:r>
        <w:t xml:space="preserve">labor camps. It would also require companies that imported such goods to</w:t>
      </w:r>
      <w:r>
        <w:t xml:space="preserve"> </w:t>
      </w:r>
      <w:r>
        <w:t xml:space="preserve">disclose the extent of the commercial activity, gross revenue, and net</w:t>
      </w:r>
      <w:r>
        <w:t xml:space="preserve"> </w:t>
      </w:r>
      <w:r>
        <w:t xml:space="preserve">profits related to the goods and whether they intend to continue</w:t>
      </w:r>
      <w:r>
        <w:t xml:space="preserve"> </w:t>
      </w:r>
      <w:r>
        <w:t xml:space="preserve">importing the goods. It would require the SEC to make such disclosed</w:t>
      </w:r>
      <w:r>
        <w:t xml:space="preserve"> </w:t>
      </w:r>
      <w:r>
        <w:t xml:space="preserve">information available on its public website and submit an annual report</w:t>
      </w:r>
      <w:r>
        <w:t xml:space="preserve"> </w:t>
      </w:r>
      <w:r>
        <w:t xml:space="preserve">to Congress on compliance.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253-163. The Senate did not take substantive</w:t>
      </w:r>
      <w:r>
        <w:t xml:space="preserve"> </w:t>
      </w:r>
      <w:r>
        <w:t xml:space="preserve">action on the bill. [House Vote 210,</w:t>
      </w:r>
      <w:r>
        <w:t xml:space="preserve"> </w:t>
      </w:r>
      <w:hyperlink r:id="rId20">
        <w:r>
          <w:rPr>
            <w:rStyle w:val="Hyperlink"/>
          </w:rPr>
          <w:t xml:space="preserve">9/30/20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9/30/20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H.R.6270</w:t>
        </w:r>
      </w:hyperlink>
      <w:r>
        <w:t xml:space="preserve">]</w:t>
      </w:r>
    </w:p>
    <w:bookmarkEnd w:id="23"/>
    <w:bookmarkStart w:id="2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Appropriating $2.2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Securities And Exchange Commission For FY 2023.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Transportation, Housing and Urban Development, and Related Agencies</w:t>
      </w:r>
      <w:r>
        <w:t xml:space="preserve"> </w:t>
      </w:r>
      <w:r>
        <w:t xml:space="preserve">Appropriations Act, 2023, which would</w:t>
      </w:r>
      <w:r>
        <w:t xml:space="preserve"> </w:t>
      </w:r>
      <w:r>
        <w:t xml:space="preserve">“</w:t>
      </w:r>
      <w:r>
        <w:t xml:space="preserve">provide $2.2 billion for the</w:t>
      </w:r>
      <w:r>
        <w:t xml:space="preserve"> </w:t>
      </w:r>
      <w:r>
        <w:t xml:space="preserve">Securities and Exchange Commission.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220-207, thus the bill was sent to the Senate.</w:t>
      </w:r>
      <w:r>
        <w:t xml:space="preserve"> </w:t>
      </w:r>
      <w:r>
        <w:t xml:space="preserve">The Senate did not take substantive action on the legislation. Congress</w:t>
      </w:r>
      <w:r>
        <w:t xml:space="preserve"> </w:t>
      </w:r>
      <w:r>
        <w:t xml:space="preserve">passed and signed into law the FY 2023 Budget through H.R. 2617. [House</w:t>
      </w:r>
      <w:r>
        <w:t xml:space="preserve"> </w:t>
      </w:r>
      <w:r>
        <w:t xml:space="preserve">Vote 383,</w:t>
      </w:r>
      <w:r>
        <w:t xml:space="preserve"> </w:t>
      </w:r>
      <w:hyperlink r:id="rId24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7"/>
    <w:bookmarkStart w:id="31" w:name="regulation-and-reform"/>
    <w:p>
      <w:pPr>
        <w:pStyle w:val="Heading3"/>
      </w:pPr>
      <w:r>
        <w:t xml:space="preserve">Regulation And Reform</w:t>
      </w:r>
    </w:p>
    <w:p>
      <w:pPr>
        <w:pStyle w:val="FirstParagraph"/>
      </w:pPr>
      <w:r>
        <w:rPr>
          <w:bCs/>
          <w:b/>
        </w:rPr>
        <w:t xml:space="preserve">2019: Fitzpatrick Voted For Limiting The SEC’s Ability To Claw Back</w:t>
      </w:r>
      <w:r>
        <w:rPr>
          <w:bCs/>
          <w:b/>
        </w:rPr>
        <w:t xml:space="preserve"> </w:t>
      </w:r>
      <w:r>
        <w:rPr>
          <w:bCs/>
          <w:b/>
        </w:rPr>
        <w:t xml:space="preserve">Ill-Gotten Gains From Securities Law Violators.</w:t>
      </w:r>
      <w:r>
        <w:t xml:space="preserve"> </w:t>
      </w:r>
      <w:r>
        <w:t xml:space="preserve">In November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modify the statute of limitations applied to Securities and</w:t>
      </w:r>
      <w:r>
        <w:t xml:space="preserve"> </w:t>
      </w:r>
      <w:r>
        <w:t xml:space="preserve">Exchange Commission disgorgement cases seeking the return of illicit</w:t>
      </w:r>
      <w:r>
        <w:t xml:space="preserve"> </w:t>
      </w:r>
      <w:r>
        <w:t xml:space="preserve">funds gained in violation of securities law. Specifically, it would</w:t>
      </w:r>
      <w:r>
        <w:t xml:space="preserve"> </w:t>
      </w:r>
      <w:r>
        <w:t xml:space="preserve">establish a 14-year statute of limitations for such cases, as well as</w:t>
      </w:r>
      <w:r>
        <w:t xml:space="preserve"> </w:t>
      </w:r>
      <w:r>
        <w:t xml:space="preserve">for relief sought by the SEC through injunctions. The bill would also</w:t>
      </w:r>
      <w:r>
        <w:t xml:space="preserve"> </w:t>
      </w:r>
      <w:r>
        <w:t xml:space="preserve">require the SEC to submit a report to Congress on enforcement actions</w:t>
      </w:r>
      <w:r>
        <w:t xml:space="preserve"> </w:t>
      </w:r>
      <w:r>
        <w:t xml:space="preserve">brought by the SEC in the ten years after enactment.</w:t>
      </w:r>
      <w:r>
        <w:t xml:space="preserve">”</w:t>
      </w:r>
      <w:r>
        <w:t xml:space="preserve"> </w:t>
      </w:r>
      <w:r>
        <w:t xml:space="preserve">The vote was a</w:t>
      </w:r>
      <w:r>
        <w:t xml:space="preserve"> </w:t>
      </w:r>
      <w:r>
        <w:t xml:space="preserve">motion to suspend the rules and pass the bill. The House agreed to the</w:t>
      </w:r>
      <w:r>
        <w:t xml:space="preserve"> </w:t>
      </w:r>
      <w:r>
        <w:t xml:space="preserve">motion and passed the bill by a vote of 314-95. The bill was never taken</w:t>
      </w:r>
      <w:r>
        <w:t xml:space="preserve"> </w:t>
      </w:r>
      <w:r>
        <w:t xml:space="preserve">up in the Senate. [House Vote 627,</w:t>
      </w:r>
      <w:r>
        <w:t xml:space="preserve"> </w:t>
      </w:r>
      <w:hyperlink r:id="rId28">
        <w:r>
          <w:rPr>
            <w:rStyle w:val="Hyperlink"/>
          </w:rPr>
          <w:t xml:space="preserve">11/18/19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H.R.4344</w:t>
        </w:r>
      </w:hyperlink>
      <w:r>
        <w:t xml:space="preserve">]</w:t>
      </w:r>
    </w:p>
    <w:bookmarkEnd w:id="31"/>
    <w:bookmarkStart w:id="35" w:name="whistleblowers"/>
    <w:p>
      <w:pPr>
        <w:pStyle w:val="Heading3"/>
      </w:pPr>
      <w:r>
        <w:t xml:space="preserve">Whistleblowers</w:t>
      </w:r>
    </w:p>
    <w:p>
      <w:pPr>
        <w:pStyle w:val="FirstParagraph"/>
      </w:pPr>
      <w:r>
        <w:rPr>
          <w:bCs/>
          <w:b/>
        </w:rPr>
        <w:t xml:space="preserve">2019: Fitzpatrick Voted For Expanding Protections For Whistleblowers</w:t>
      </w:r>
      <w:r>
        <w:rPr>
          <w:bCs/>
          <w:b/>
        </w:rPr>
        <w:t xml:space="preserve"> </w:t>
      </w:r>
      <w:r>
        <w:rPr>
          <w:bCs/>
          <w:b/>
        </w:rPr>
        <w:t xml:space="preserve">In Relation To Securities Law.</w:t>
      </w:r>
      <w:r>
        <w:t xml:space="preserve"> </w:t>
      </w:r>
      <w:r>
        <w:t xml:space="preserve">In July 2019, Fitzpatrick voted for a</w:t>
      </w:r>
      <w:r>
        <w:t xml:space="preserve"> </w:t>
      </w:r>
      <w:r>
        <w:t xml:space="preserve">bill that would, according to Congressional Quarterly,</w:t>
      </w:r>
      <w:r>
        <w:t xml:space="preserve"> </w:t>
      </w:r>
      <w:r>
        <w:t xml:space="preserve">“</w:t>
      </w:r>
      <w:r>
        <w:t xml:space="preserve">expand the</w:t>
      </w:r>
      <w:r>
        <w:t xml:space="preserve"> </w:t>
      </w:r>
      <w:r>
        <w:t xml:space="preserve">definition of</w:t>
      </w:r>
      <w:r>
        <w:t xml:space="preserve"> </w:t>
      </w:r>
      <w:r>
        <w:t xml:space="preserve">‘</w:t>
      </w:r>
      <w:r>
        <w:t xml:space="preserve">whistleblower</w:t>
      </w:r>
      <w:r>
        <w:t xml:space="preserve">’</w:t>
      </w:r>
      <w:r>
        <w:t xml:space="preserve"> </w:t>
      </w:r>
      <w:r>
        <w:t xml:space="preserve">in relation to securities law to include</w:t>
      </w:r>
      <w:r>
        <w:t xml:space="preserve"> </w:t>
      </w:r>
      <w:r>
        <w:t xml:space="preserve">individuals who report potential misconduct regarding securities law to</w:t>
      </w:r>
      <w:r>
        <w:t xml:space="preserve"> </w:t>
      </w:r>
      <w:r>
        <w:t xml:space="preserve">their employer or another employee within their company – including</w:t>
      </w:r>
      <w:r>
        <w:t xml:space="preserve"> </w:t>
      </w:r>
      <w:r>
        <w:t xml:space="preserve">individuals who do not notify the Securities and Exchange Commission of</w:t>
      </w:r>
      <w:r>
        <w:t xml:space="preserve"> </w:t>
      </w:r>
      <w:r>
        <w:t xml:space="preserve">such misconduct.</w:t>
      </w:r>
      <w:r>
        <w:t xml:space="preserve">”</w:t>
      </w:r>
      <w:r>
        <w:t xml:space="preserve"> </w:t>
      </w:r>
      <w:r>
        <w:t xml:space="preserve">The vote was on a motion to suspend the rules and pass</w:t>
      </w:r>
      <w:r>
        <w:t xml:space="preserve"> </w:t>
      </w:r>
      <w:r>
        <w:t xml:space="preserve">the bill. The House agreed to the motion and passed the bill by a vote</w:t>
      </w:r>
      <w:r>
        <w:t xml:space="preserve"> </w:t>
      </w:r>
      <w:r>
        <w:t xml:space="preserve">of 410-12. [House Vote 431,</w:t>
      </w:r>
      <w:r>
        <w:t xml:space="preserve"> </w:t>
      </w:r>
      <w:hyperlink r:id="rId32">
        <w:r>
          <w:rPr>
            <w:rStyle w:val="Hyperlink"/>
          </w:rPr>
          <w:t xml:space="preserve">7/9/19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7/9/19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H.R.2515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19/roll431.xml" TargetMode="External" /><Relationship Type="http://schemas.openxmlformats.org/officeDocument/2006/relationships/hyperlink" Id="rId28" Target="http://clerk.house.gov/evs/2019/roll627.xml" TargetMode="External" /><Relationship Type="http://schemas.openxmlformats.org/officeDocument/2006/relationships/hyperlink" Id="rId20" Target="http://clerk.house.gov/evs/2020/roll210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33" Target="https://plus.cq.com/vote/2019/H/431?72" TargetMode="External" /><Relationship Type="http://schemas.openxmlformats.org/officeDocument/2006/relationships/hyperlink" Id="rId29" Target="https://plus.cq.com/vote/2019/H/627?3" TargetMode="External" /><Relationship Type="http://schemas.openxmlformats.org/officeDocument/2006/relationships/hyperlink" Id="rId21" Target="https://plus.cq.com/vote/2020/H/210?9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34" Target="https://www.congress.gov/bill/116th-congress/house-bill/2515/all-actions" TargetMode="External" /><Relationship Type="http://schemas.openxmlformats.org/officeDocument/2006/relationships/hyperlink" Id="rId30" Target="https://www.congress.gov/bill/116th-congress/house-bill/4344/all-actions" TargetMode="External" /><Relationship Type="http://schemas.openxmlformats.org/officeDocument/2006/relationships/hyperlink" Id="rId22" Target="https://www.congress.gov/bill/116th-congress/house-bill/4447/all-actions?q=%7b%22search%22%3A%5B%22hr+4447%22%5D%7d&amp;s=1&amp;r=1" TargetMode="External" /><Relationship Type="http://schemas.openxmlformats.org/officeDocument/2006/relationships/hyperlink" Id="rId26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19/roll431.xml" TargetMode="External" /><Relationship Type="http://schemas.openxmlformats.org/officeDocument/2006/relationships/hyperlink" Id="rId28" Target="http://clerk.house.gov/evs/2019/roll627.xml" TargetMode="External" /><Relationship Type="http://schemas.openxmlformats.org/officeDocument/2006/relationships/hyperlink" Id="rId20" Target="http://clerk.house.gov/evs/2020/roll210.xml" TargetMode="External" /><Relationship Type="http://schemas.openxmlformats.org/officeDocument/2006/relationships/hyperlink" Id="rId24" Target="http://clerk.house.gov/evs/2022/roll383.xml" TargetMode="External" /><Relationship Type="http://schemas.openxmlformats.org/officeDocument/2006/relationships/hyperlink" Id="rId33" Target="https://plus.cq.com/vote/2019/H/431?72" TargetMode="External" /><Relationship Type="http://schemas.openxmlformats.org/officeDocument/2006/relationships/hyperlink" Id="rId29" Target="https://plus.cq.com/vote/2019/H/627?3" TargetMode="External" /><Relationship Type="http://schemas.openxmlformats.org/officeDocument/2006/relationships/hyperlink" Id="rId21" Target="https://plus.cq.com/vote/2020/H/210?9" TargetMode="External" /><Relationship Type="http://schemas.openxmlformats.org/officeDocument/2006/relationships/hyperlink" Id="rId25" Target="https://plus.cq.com/vote/2022/H/383?13" TargetMode="External" /><Relationship Type="http://schemas.openxmlformats.org/officeDocument/2006/relationships/hyperlink" Id="rId34" Target="https://www.congress.gov/bill/116th-congress/house-bill/2515/all-actions" TargetMode="External" /><Relationship Type="http://schemas.openxmlformats.org/officeDocument/2006/relationships/hyperlink" Id="rId30" Target="https://www.congress.gov/bill/116th-congress/house-bill/4344/all-actions" TargetMode="External" /><Relationship Type="http://schemas.openxmlformats.org/officeDocument/2006/relationships/hyperlink" Id="rId22" Target="https://www.congress.gov/bill/116th-congress/house-bill/4447/all-actions?q=%7b%22search%22%3A%5B%22hr+4447%22%5D%7d&amp;s=1&amp;r=1" TargetMode="External" /><Relationship Type="http://schemas.openxmlformats.org/officeDocument/2006/relationships/hyperlink" Id="rId26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