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investments"/>
    <w:p>
      <w:pPr>
        <w:pStyle w:val="Heading1"/>
      </w:pPr>
      <w:r>
        <w:t xml:space="preserve">Investments</w:t>
      </w:r>
    </w:p>
    <w:bookmarkStart w:id="23" w:name="accredited-investors"/>
    <w:p>
      <w:pPr>
        <w:pStyle w:val="Heading3"/>
      </w:pPr>
      <w:r>
        <w:t xml:space="preserve">Accredited Investors</w:t>
      </w:r>
    </w:p>
    <w:p>
      <w:pPr>
        <w:pStyle w:val="FirstParagraph"/>
      </w:pPr>
      <w:r>
        <w:rPr>
          <w:bCs/>
          <w:b/>
        </w:rPr>
        <w:t xml:space="preserve">2024: Fitzpatrick Voted Against Including Certain Investors In The</w:t>
      </w:r>
      <w:r>
        <w:rPr>
          <w:bCs/>
          <w:b/>
        </w:rPr>
        <w:t xml:space="preserve"> </w:t>
      </w:r>
      <w:r>
        <w:rPr>
          <w:bCs/>
          <w:b/>
        </w:rPr>
        <w:t xml:space="preserve">Definition Of Accredited Investors.</w:t>
      </w:r>
      <w:r>
        <w:t xml:space="preserve"> </w:t>
      </w:r>
      <w:r>
        <w:t xml:space="preserve">In March 2024, Fitzpatrick voted</w:t>
      </w:r>
      <w:r>
        <w:t xml:space="preserve"> </w:t>
      </w:r>
      <w:r>
        <w:t xml:space="preserve">against , according to Congressional Quarterly, the</w:t>
      </w:r>
      <w:r>
        <w:t xml:space="preserve"> </w:t>
      </w:r>
      <w:r>
        <w:t xml:space="preserve">“</w:t>
      </w:r>
      <w:r>
        <w:t xml:space="preserve">Sherman, D-Calif.,</w:t>
      </w:r>
      <w:r>
        <w:t xml:space="preserve"> </w:t>
      </w:r>
      <w:r>
        <w:t xml:space="preserve">amendment no. 5 that would include an individual in the current law</w:t>
      </w:r>
      <w:r>
        <w:t xml:space="preserve"> </w:t>
      </w:r>
      <w:r>
        <w:t xml:space="preserve">definition of an accredited investor, with respect to a proposed</w:t>
      </w:r>
      <w:r>
        <w:t xml:space="preserve"> </w:t>
      </w:r>
      <w:r>
        <w:t xml:space="preserve">transaction involving a private offering, if the amount of an</w:t>
      </w:r>
      <w:r>
        <w:t xml:space="preserve"> </w:t>
      </w:r>
      <w:r>
        <w:t xml:space="preserve">individual's transaction is no more than 5 percent of their net worth</w:t>
      </w:r>
      <w:r>
        <w:t xml:space="preserve"> </w:t>
      </w:r>
      <w:r>
        <w:t xml:space="preserve">and the individual's aggregate investment at the completion of such</w:t>
      </w:r>
      <w:r>
        <w:t xml:space="preserve"> </w:t>
      </w:r>
      <w:r>
        <w:t xml:space="preserve">transaction, in securities where there has not been a public offering,</w:t>
      </w:r>
      <w:r>
        <w:t xml:space="preserve"> </w:t>
      </w:r>
      <w:r>
        <w:t xml:space="preserve">is no more than 25 percent of their net worth.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House rejected the amendment by a vote of 203 to 223.</w:t>
      </w:r>
      <w:r>
        <w:t xml:space="preserve"> </w:t>
      </w:r>
      <w:r>
        <w:t xml:space="preserve">[House Vote 72,</w:t>
      </w:r>
      <w:r>
        <w:t xml:space="preserve"> </w:t>
      </w:r>
      <w:hyperlink r:id="rId20">
        <w:r>
          <w:rPr>
            <w:rStyle w:val="Hyperlink"/>
          </w:rPr>
          <w:t xml:space="preserve">3/7/24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3/7/24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2799</w:t>
        </w:r>
      </w:hyperlink>
      <w:r>
        <w:t xml:space="preserve">]</w:t>
      </w:r>
    </w:p>
    <w:bookmarkEnd w:id="23"/>
    <w:bookmarkStart w:id="26" w:name="investment-companies"/>
    <w:p>
      <w:pPr>
        <w:pStyle w:val="Heading3"/>
      </w:pPr>
      <w:r>
        <w:t xml:space="preserve">Investment Companies</w:t>
      </w:r>
    </w:p>
    <w:p>
      <w:pPr>
        <w:pStyle w:val="FirstParagraph"/>
      </w:pPr>
      <w:r>
        <w:rPr>
          <w:bCs/>
          <w:b/>
        </w:rPr>
        <w:t xml:space="preserve">2024: Fitzpatrick Voted To Exempt Certain Public School And Nonprofit</w:t>
      </w:r>
      <w:r>
        <w:rPr>
          <w:bCs/>
          <w:b/>
        </w:rPr>
        <w:t xml:space="preserve"> </w:t>
      </w:r>
      <w:r>
        <w:rPr>
          <w:bCs/>
          <w:b/>
        </w:rPr>
        <w:t xml:space="preserve">Retirement Plans From The Defintion Of An Investment Company.</w:t>
      </w:r>
      <w:r>
        <w:t xml:space="preserve"> </w:t>
      </w:r>
      <w:r>
        <w:t xml:space="preserve">In March</w:t>
      </w:r>
      <w:r>
        <w:t xml:space="preserve"> </w:t>
      </w:r>
      <w:r>
        <w:t xml:space="preserve">2024, Fitzpatrick voted for , according to Congressional Quarterly, the</w:t>
      </w:r>
      <w:r>
        <w:t xml:space="preserve"> </w:t>
      </w:r>
      <w:r>
        <w:t xml:space="preserve">“</w:t>
      </w:r>
      <w:r>
        <w:t xml:space="preserve">Lucas, R-Okla., amendment no. 3, that would exempt from the definition</w:t>
      </w:r>
      <w:r>
        <w:t xml:space="preserve"> </w:t>
      </w:r>
      <w:r>
        <w:t xml:space="preserve">of an investment company in current law certain 403(b) retirement plans</w:t>
      </w:r>
      <w:r>
        <w:t xml:space="preserve"> </w:t>
      </w:r>
      <w:r>
        <w:t xml:space="preserve">for public schools and other nonprofits to allow them to invest in</w:t>
      </w:r>
      <w:r>
        <w:t xml:space="preserve"> </w:t>
      </w:r>
      <w:r>
        <w:t xml:space="preserve">collective investment trusts and insurance contracts.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amendment. The House adopted the amendment by a vote of 301 to 125.</w:t>
      </w:r>
      <w:r>
        <w:t xml:space="preserve"> </w:t>
      </w:r>
      <w:r>
        <w:t xml:space="preserve">[House Vote 70,</w:t>
      </w:r>
      <w:r>
        <w:t xml:space="preserve"> </w:t>
      </w:r>
      <w:hyperlink r:id="rId24">
        <w:r>
          <w:rPr>
            <w:rStyle w:val="Hyperlink"/>
          </w:rPr>
          <w:t xml:space="preserve">3/7/24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5">
        <w:r>
          <w:rPr>
            <w:rStyle w:val="Hyperlink"/>
          </w:rPr>
          <w:t xml:space="preserve">3/7/24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2799</w:t>
        </w:r>
      </w:hyperlink>
      <w:r>
        <w:t xml:space="preserve">]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24/roll070.xml" TargetMode="External" /><Relationship Type="http://schemas.openxmlformats.org/officeDocument/2006/relationships/hyperlink" Id="rId20" Target="http://clerk.house.gov/evs/2024/roll072.xml" TargetMode="External" /><Relationship Type="http://schemas.openxmlformats.org/officeDocument/2006/relationships/hyperlink" Id="rId25" Target="https://plus.cq.com/vote/2024/H/70?4" TargetMode="External" /><Relationship Type="http://schemas.openxmlformats.org/officeDocument/2006/relationships/hyperlink" Id="rId21" Target="https://plus.cq.com/vote/2024/H/72?4" TargetMode="External" /><Relationship Type="http://schemas.openxmlformats.org/officeDocument/2006/relationships/hyperlink" Id="rId22" Target="https://www.congress.gov/bill/118th-congress/house-bill/2799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24/roll070.xml" TargetMode="External" /><Relationship Type="http://schemas.openxmlformats.org/officeDocument/2006/relationships/hyperlink" Id="rId20" Target="http://clerk.house.gov/evs/2024/roll072.xml" TargetMode="External" /><Relationship Type="http://schemas.openxmlformats.org/officeDocument/2006/relationships/hyperlink" Id="rId25" Target="https://plus.cq.com/vote/2024/H/70?4" TargetMode="External" /><Relationship Type="http://schemas.openxmlformats.org/officeDocument/2006/relationships/hyperlink" Id="rId21" Target="https://plus.cq.com/vote/2024/H/72?4" TargetMode="External" /><Relationship Type="http://schemas.openxmlformats.org/officeDocument/2006/relationships/hyperlink" Id="rId22" Target="https://www.congress.gov/bill/118th-congress/house-bill/2799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2026-01-27T02:08:43Z</dcterms:created>
  <dcterms:modified xsi:type="dcterms:W3CDTF">2026-01-27T02:08:43Z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