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armers"/>
    <w:p>
      <w:pPr>
        <w:pStyle w:val="Heading1"/>
      </w:pPr>
      <w:r>
        <w:t xml:space="preserve">Farmers</w:t>
      </w:r>
    </w:p>
    <w:bookmarkStart w:id="23" w:name="debt-forgiveness"/>
    <w:p>
      <w:pPr>
        <w:pStyle w:val="Heading3"/>
      </w:pPr>
      <w:r>
        <w:t xml:space="preserve">Debt Forgiveness</w:t>
      </w:r>
    </w:p>
    <w:p>
      <w:pPr>
        <w:pStyle w:val="FirstParagraph"/>
      </w:pPr>
      <w:r>
        <w:rPr>
          <w:bCs/>
          <w:b/>
        </w:rPr>
        <w:t xml:space="preserve">2021: Fitzpatrick Voted Against Forgiving Farm Loan Debt For</w:t>
      </w:r>
      <w:r>
        <w:rPr>
          <w:bCs/>
          <w:b/>
        </w:rPr>
        <w:t xml:space="preserve"> </w:t>
      </w:r>
      <w:r>
        <w:rPr>
          <w:bCs/>
          <w:b/>
        </w:rPr>
        <w:t xml:space="preserve">Economically Distressed Farmers And Ranchers.</w:t>
      </w:r>
      <w:r>
        <w:t xml:space="preserve"> </w:t>
      </w:r>
      <w:r>
        <w:t xml:space="preserve">In November 2021,</w:t>
      </w:r>
      <w:r>
        <w:t xml:space="preserve"> </w:t>
      </w:r>
      <w:r>
        <w:t xml:space="preserve">Fitzpatrick voted against the Build Back Better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such sums as necessary</w:t>
      </w:r>
      <w:r>
        <w:t xml:space="preserve"> </w:t>
      </w:r>
      <w:r>
        <w:t xml:space="preserve">for the USDA to forgive farm loan debt for economically distressed</w:t>
      </w:r>
      <w:r>
        <w:t xml:space="preserve"> </w:t>
      </w:r>
      <w:r>
        <w:t xml:space="preserve">farmers and ranchers.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220-213. [House Vote 385,</w:t>
      </w:r>
      <w:r>
        <w:t xml:space="preserve"> </w:t>
      </w:r>
      <w:hyperlink r:id="rId20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2026-01-27T02:08:59Z</dcterms:created>
  <dcterms:modified xsi:type="dcterms:W3CDTF">2026-01-27T02:08:59Z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