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griculture-research-service"/>
    <w:p>
      <w:pPr>
        <w:pStyle w:val="Heading1"/>
      </w:pPr>
      <w:r>
        <w:t xml:space="preserve">Agriculture Research Service</w:t>
      </w:r>
    </w:p>
    <w:bookmarkStart w:id="24" w:name="alternative-protein-research"/>
    <w:p>
      <w:pPr>
        <w:pStyle w:val="Heading3"/>
      </w:pPr>
      <w:r>
        <w:t xml:space="preserve">Alternative Protein Research</w:t>
      </w:r>
    </w:p>
    <w:p>
      <w:pPr>
        <w:pStyle w:val="FirstParagraph"/>
      </w:pPr>
      <w:r>
        <w:rPr>
          <w:bCs/>
          <w:b/>
        </w:rPr>
        <w:t xml:space="preserve">2022: Fitzpatrick Voted For An Amendment That Shifted $1.5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Within The Agriculture Research Service To Increase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Alternative Protein Research.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en bloc amendments no. 3 to the</w:t>
      </w:r>
      <w:r>
        <w:t xml:space="preserve"> </w:t>
      </w:r>
      <w:r>
        <w:t xml:space="preserve">Transportation, Housing and Urban Development, and Related Agencies</w:t>
      </w:r>
      <w:r>
        <w:t xml:space="preserve"> </w:t>
      </w:r>
      <w:r>
        <w:t xml:space="preserve">Appropriations Act, 2023, which would, in part,</w:t>
      </w:r>
      <w:r>
        <w:t xml:space="preserve"> </w:t>
      </w:r>
      <w:r>
        <w:t xml:space="preserve">“</w:t>
      </w:r>
      <w:r>
        <w:t xml:space="preserve">increase and decrease</w:t>
      </w:r>
      <w:r>
        <w:t xml:space="preserve"> </w:t>
      </w:r>
      <w:r>
        <w:t xml:space="preserve">Agriculture Research Service funding by $1.5 million intended to</w:t>
      </w:r>
      <w:r>
        <w:t xml:space="preserve"> </w:t>
      </w:r>
      <w:r>
        <w:t xml:space="preserve">increase funding for alternative protein research.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</w:t>
      </w:r>
      <w:r>
        <w:t xml:space="preserve"> </w:t>
      </w:r>
      <w:r>
        <w:t xml:space="preserve">225-201. [House Vote 369,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