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reproductive-health-products"/>
    <w:p>
      <w:pPr>
        <w:pStyle w:val="Heading1"/>
      </w:pPr>
      <w:r>
        <w:t xml:space="preserve">Reproductive Health Products</w:t>
      </w:r>
    </w:p>
    <w:bookmarkStart w:id="24" w:name="reaffirming-fda-approval-authority"/>
    <w:p>
      <w:pPr>
        <w:pStyle w:val="Heading3"/>
      </w:pPr>
      <w:r>
        <w:t xml:space="preserve">Reaffirming FDA Approval Authority</w:t>
      </w:r>
    </w:p>
    <w:p>
      <w:pPr>
        <w:pStyle w:val="FirstParagraph"/>
      </w:pPr>
      <w:r>
        <w:rPr>
          <w:bCs/>
          <w:b/>
        </w:rPr>
        <w:t xml:space="preserve">2022: Fitzpatrick Effectively Voted Against Reaffirming The Preemption</w:t>
      </w:r>
      <w:r>
        <w:rPr>
          <w:bCs/>
          <w:b/>
        </w:rPr>
        <w:t xml:space="preserve"> </w:t>
      </w:r>
      <w:r>
        <w:rPr>
          <w:bCs/>
          <w:b/>
        </w:rPr>
        <w:t xml:space="preserve">Of The FDA’s Authority Regarding Reproductive Health Product Approvals</w:t>
      </w:r>
      <w:r>
        <w:rPr>
          <w:bCs/>
          <w:b/>
        </w:rPr>
        <w:t xml:space="preserve"> </w:t>
      </w:r>
      <w:r>
        <w:rPr>
          <w:bCs/>
          <w:b/>
        </w:rPr>
        <w:t xml:space="preserve">Over State Or Local Regulations That Restrict Reproductive Health</w:t>
      </w:r>
      <w:r>
        <w:rPr>
          <w:bCs/>
          <w:b/>
        </w:rPr>
        <w:t xml:space="preserve"> </w:t>
      </w:r>
      <w:r>
        <w:rPr>
          <w:bCs/>
          <w:b/>
        </w:rPr>
        <w:t xml:space="preserve">Products.</w:t>
      </w:r>
      <w:r>
        <w:t xml:space="preserve"> </w:t>
      </w:r>
      <w:r>
        <w:t xml:space="preserve">In December 2022, according to the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automatic agreement to […] a</w:t>
      </w:r>
      <w:r>
        <w:t xml:space="preserve"> </w:t>
      </w:r>
      <w:r>
        <w:t xml:space="preserve">resolution (H Res 1434) that would reaffirm that the Food and Drug</w:t>
      </w:r>
      <w:r>
        <w:t xml:space="preserve"> </w:t>
      </w:r>
      <w:r>
        <w:t xml:space="preserve">Administration’s authorities to approve or authorize reproductive health</w:t>
      </w:r>
      <w:r>
        <w:t xml:space="preserve"> </w:t>
      </w:r>
      <w:r>
        <w:t xml:space="preserve">products have a preemptive effect with respect to any state or local</w:t>
      </w:r>
      <w:r>
        <w:t xml:space="preserve"> </w:t>
      </w:r>
      <w:r>
        <w:t xml:space="preserve">laws that inhibit access to or use of any reproductive health product.</w:t>
      </w:r>
      <w:r>
        <w:t xml:space="preserve">”</w:t>
      </w:r>
      <w:r>
        <w:t xml:space="preserve"> </w:t>
      </w:r>
      <w:r>
        <w:t xml:space="preserve">The vote was on the adoption of the rule and automatic agreement to the</w:t>
      </w:r>
      <w:r>
        <w:t xml:space="preserve"> </w:t>
      </w:r>
      <w:r>
        <w:t xml:space="preserve">resolution. The House adopted the rule and adopted the resolution by a</w:t>
      </w:r>
      <w:r>
        <w:t xml:space="preserve"> </w:t>
      </w:r>
      <w:r>
        <w:t xml:space="preserve">vote of 216 – 193. [House Vote 531,</w:t>
      </w:r>
      <w:r>
        <w:t xml:space="preserve"> </w:t>
      </w:r>
      <w:hyperlink r:id="rId20">
        <w:r>
          <w:rPr>
            <w:rStyle w:val="Hyperlink"/>
          </w:rPr>
          <w:t xml:space="preserve">12/21/22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1434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31.xml" TargetMode="External" /><Relationship Type="http://schemas.openxmlformats.org/officeDocument/2006/relationships/hyperlink" Id="rId21" Target="https://plus.cq.com/vote/2022/H/531?15" TargetMode="External" /><Relationship Type="http://schemas.openxmlformats.org/officeDocument/2006/relationships/hyperlink" Id="rId23" Target="https://www.congress.gov/bill/117th-congress/house-resolution/1434/all-actions" TargetMode="External" /><Relationship Type="http://schemas.openxmlformats.org/officeDocument/2006/relationships/hyperlink" Id="rId22" Target="https://www.congress.gov/bill/117th-congress/house-resolution/152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31.xml" TargetMode="External" /><Relationship Type="http://schemas.openxmlformats.org/officeDocument/2006/relationships/hyperlink" Id="rId21" Target="https://plus.cq.com/vote/2022/H/531?15" TargetMode="External" /><Relationship Type="http://schemas.openxmlformats.org/officeDocument/2006/relationships/hyperlink" Id="rId23" Target="https://www.congress.gov/bill/117th-congress/house-resolution/1434/all-actions" TargetMode="External" /><Relationship Type="http://schemas.openxmlformats.org/officeDocument/2006/relationships/hyperlink" Id="rId22" Target="https://www.congress.gov/bill/117th-congress/house-resolution/152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