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washington-d.c."/>
    <w:p>
      <w:pPr>
        <w:pStyle w:val="Heading1"/>
      </w:pPr>
      <w:r>
        <w:t xml:space="preserve">Washington, D.C.</w:t>
      </w:r>
    </w:p>
    <w:bookmarkStart w:id="23" w:name="Xbccb46103ebbfa54d96dcbf0b0fe3fe0e83977e"/>
    <w:p>
      <w:pPr>
        <w:pStyle w:val="Heading3"/>
      </w:pPr>
      <w:r>
        <w:t xml:space="preserve">Ending Prohibition Of Local And Federal Funds For Abortion Services</w:t>
      </w:r>
    </w:p>
    <w:p>
      <w:pPr>
        <w:pStyle w:val="FirstParagraph"/>
      </w:pPr>
      <w:r>
        <w:rPr>
          <w:bCs/>
          <w:b/>
        </w:rPr>
        <w:t xml:space="preserve">2022: Fitzpatrick Voted Against Ending A Prohibition On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Local And Federal Funds For Abortion Services In D.C.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end a prohibition on the use of</w:t>
      </w:r>
      <w:r>
        <w:t xml:space="preserve"> </w:t>
      </w:r>
      <w:r>
        <w:t xml:space="preserve">local and federal funds for abortion services in the District of</w:t>
      </w:r>
      <w:r>
        <w:t xml:space="preserve"> </w:t>
      </w:r>
      <w:r>
        <w:t xml:space="preserve">Columbia.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220-207, 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3"/>
    <w:bookmarkStart w:id="28" w:name="Xa8cc036b2969aa429374320130c9156de150f1f"/>
    <w:p>
      <w:pPr>
        <w:pStyle w:val="Heading3"/>
      </w:pPr>
      <w:r>
        <w:t xml:space="preserve">Reproductive Health Non-Discrimination Amendment Act</w:t>
      </w:r>
    </w:p>
    <w:p>
      <w:pPr>
        <w:pStyle w:val="FirstParagraph"/>
      </w:pPr>
      <w:r>
        <w:rPr>
          <w:bCs/>
          <w:b/>
        </w:rPr>
        <w:t xml:space="preserve">2017: Fitzpatrick Voted For D.C.’s Reproductive Health</w:t>
      </w:r>
      <w:r>
        <w:rPr>
          <w:bCs/>
          <w:b/>
        </w:rPr>
        <w:t xml:space="preserve"> </w:t>
      </w:r>
      <w:r>
        <w:rPr>
          <w:bCs/>
          <w:b/>
        </w:rPr>
        <w:t xml:space="preserve">Non-Discrimination Amendment Act.</w:t>
      </w:r>
      <w:r>
        <w:t xml:space="preserve"> </w:t>
      </w:r>
      <w:r>
        <w:t xml:space="preserve">In September 2017, Fitzpatrick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prohibit[ed] any funds appropriated by the bill from being</w:t>
      </w:r>
      <w:r>
        <w:t xml:space="preserve"> </w:t>
      </w:r>
      <w:r>
        <w:t xml:space="preserve">used to implement the District of Columbia’s Reproductive Health</w:t>
      </w:r>
      <w:r>
        <w:t xml:space="preserve"> </w:t>
      </w:r>
      <w:r>
        <w:t xml:space="preserve">Non-Discrimination Amendment Act.</w:t>
      </w:r>
      <w:r>
        <w:t xml:space="preserve">”</w:t>
      </w:r>
      <w:r>
        <w:t xml:space="preserve"> </w:t>
      </w:r>
      <w:r>
        <w:t xml:space="preserve">The House adopted the amendment by a</w:t>
      </w:r>
      <w:r>
        <w:t xml:space="preserve"> </w:t>
      </w:r>
      <w:r>
        <w:t xml:space="preserve">vote of 214 to 194. The House later passed the underlying legislation.</w:t>
      </w:r>
      <w:r>
        <w:t xml:space="preserve"> </w:t>
      </w:r>
      <w:r>
        <w:t xml:space="preserve">The Senate took no substantive action on the overall legislation.</w:t>
      </w:r>
      <w:r>
        <w:t xml:space="preserve"> </w:t>
      </w:r>
      <w:r>
        <w:t xml:space="preserve">[House Vote 518,</w:t>
      </w:r>
      <w:r>
        <w:t xml:space="preserve"> </w:t>
      </w:r>
      <w:hyperlink r:id="rId24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7/roll518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5" Target="http://cq.com/vote/2017/H/518?1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6" Target="https://www.congress.gov/amendment/115th-congress/house-amendment/432/actions" TargetMode="External" /><Relationship Type="http://schemas.openxmlformats.org/officeDocument/2006/relationships/hyperlink" Id="rId27" Target="https://www.congress.gov/bill/115th-congress/house-bill/3354/all-actions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7/roll518.xml" TargetMode="External" /><Relationship Type="http://schemas.openxmlformats.org/officeDocument/2006/relationships/hyperlink" Id="rId20" Target="http://clerk.house.gov/evs/2022/roll383.xml" TargetMode="External" /><Relationship Type="http://schemas.openxmlformats.org/officeDocument/2006/relationships/hyperlink" Id="rId25" Target="http://cq.com/vote/2017/H/518?1" TargetMode="External" /><Relationship Type="http://schemas.openxmlformats.org/officeDocument/2006/relationships/hyperlink" Id="rId21" Target="https://plus.cq.com/vote/2022/H/383?13" TargetMode="External" /><Relationship Type="http://schemas.openxmlformats.org/officeDocument/2006/relationships/hyperlink" Id="rId26" Target="https://www.congress.gov/amendment/115th-congress/house-amendment/432/actions" TargetMode="External" /><Relationship Type="http://schemas.openxmlformats.org/officeDocument/2006/relationships/hyperlink" Id="rId27" Target="https://www.congress.gov/bill/115th-congress/house-bill/3354/all-actions" TargetMode="External" /><Relationship Type="http://schemas.openxmlformats.org/officeDocument/2006/relationships/hyperlink" Id="rId22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