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personal-wealth"/>
    <w:p>
      <w:pPr>
        <w:pStyle w:val="Heading1"/>
      </w:pPr>
      <w:r>
        <w:t xml:space="preserve">Ashley Hinson’s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Financial Ethics and Transparency</w:t>
      </w:r>
    </w:p>
    <w:p>
      <w:pPr>
        <w:numPr>
          <w:ilvl w:val="0"/>
          <w:numId w:val="1001"/>
        </w:numPr>
        <w:pStyle w:val="Compact"/>
      </w:pPr>
      <w:r>
        <w:t xml:space="preserve">Income and Assets</w:t>
      </w:r>
    </w:p>
    <w:p>
      <w:pPr>
        <w:numPr>
          <w:ilvl w:val="0"/>
          <w:numId w:val="1001"/>
        </w:numPr>
        <w:pStyle w:val="Compact"/>
      </w:pPr>
      <w:r>
        <w:t xml:space="preserve">Campaign Finance and Political Contributions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