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positions-on-lgbtq-policy"/>
    <w:p>
      <w:pPr>
        <w:pStyle w:val="Heading1"/>
      </w:pPr>
      <w:r>
        <w:t xml:space="preserve">Ashley Hinson’s Positions On LGBTQ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</w:t>
      </w:r>
    </w:p>
    <w:p>
      <w:pPr>
        <w:numPr>
          <w:ilvl w:val="0"/>
          <w:numId w:val="1001"/>
        </w:numPr>
        <w:pStyle w:val="Compact"/>
      </w:pPr>
      <w:r>
        <w:t xml:space="preserve">Education and School Policy</w:t>
      </w:r>
    </w:p>
    <w:p>
      <w:pPr>
        <w:numPr>
          <w:ilvl w:val="0"/>
          <w:numId w:val="1001"/>
        </w:numPr>
        <w:pStyle w:val="Compact"/>
      </w:pPr>
      <w:r>
        <w:t xml:space="preserve">Public Messaging and Advocacy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