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e61fb485dde43ea9a791bdbfb3bb198e4aedeb4"/>
    <w:p>
      <w:pPr>
        <w:pStyle w:val="Heading1"/>
      </w:pPr>
      <w:r>
        <w:t xml:space="preserve">Ashley Hinson’s Positions On Housing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Affordable Housing Initiatives</w:t>
      </w:r>
    </w:p>
    <w:p>
      <w:pPr>
        <w:numPr>
          <w:ilvl w:val="0"/>
          <w:numId w:val="1001"/>
        </w:numPr>
        <w:pStyle w:val="Compact"/>
      </w:pPr>
      <w:r>
        <w:t xml:space="preserve">Federal Policy and Legislation Impacting Housing</w:t>
      </w:r>
    </w:p>
    <w:p>
      <w:pPr>
        <w:numPr>
          <w:ilvl w:val="0"/>
          <w:numId w:val="1001"/>
        </w:numPr>
        <w:pStyle w:val="Compact"/>
      </w:pPr>
      <w:r>
        <w:t xml:space="preserve">Community Development and Related Social Policies</w:t>
      </w:r>
    </w:p>
    <w:p>
      <w:pPr>
        <w:numPr>
          <w:ilvl w:val="0"/>
          <w:numId w:val="1001"/>
        </w:numPr>
        <w:pStyle w:val="Compact"/>
      </w:pPr>
      <w:r>
        <w:t xml:space="preserve">Views on Housing Supply and Affordability</w:t>
      </w:r>
    </w:p>
    <w:p>
      <w:pPr>
        <w:numPr>
          <w:ilvl w:val="0"/>
          <w:numId w:val="1001"/>
        </w:numPr>
        <w:pStyle w:val="Compact"/>
      </w:pPr>
      <w:r>
        <w:t xml:space="preserve">Approach to Federal Funding and Appropriations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2026-01-27T02:08:22Z</dcterms:created>
  <dcterms:modified xsi:type="dcterms:W3CDTF">2026-01-27T02:08:22Z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