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c86211a4a628c9b6f439786e2fdf6474e61741"/>
    <w:p>
      <w:pPr>
        <w:pStyle w:val="Heading1"/>
      </w:pPr>
      <w:r>
        <w:t xml:space="preserve">Ashley Hinson’s Positions On Health 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COVID-19 and Public Health Emergencies</w:t>
      </w:r>
    </w:p>
    <w:p>
      <w:pPr>
        <w:numPr>
          <w:ilvl w:val="0"/>
          <w:numId w:val="1001"/>
        </w:numPr>
        <w:pStyle w:val="Compact"/>
      </w:pPr>
      <w:r>
        <w:t xml:space="preserve">Health Policy Reform and Accountability</w:t>
      </w:r>
    </w:p>
    <w:p>
      <w:pPr>
        <w:numPr>
          <w:ilvl w:val="0"/>
          <w:numId w:val="1001"/>
        </w:numPr>
        <w:pStyle w:val="Compact"/>
      </w:pPr>
      <w:r>
        <w:t xml:space="preserve">Reproductive and Maternal Health Policy</w:t>
      </w:r>
    </w:p>
    <w:p>
      <w:pPr>
        <w:numPr>
          <w:ilvl w:val="0"/>
          <w:numId w:val="1001"/>
        </w:numPr>
        <w:pStyle w:val="Compact"/>
      </w:pPr>
      <w:r>
        <w:t xml:space="preserve">Healthcare System Preparedness and Funding</w:t>
      </w:r>
    </w:p>
    <w:p>
      <w:pPr>
        <w:numPr>
          <w:ilvl w:val="0"/>
          <w:numId w:val="1001"/>
        </w:numPr>
        <w:pStyle w:val="Compact"/>
      </w:pPr>
      <w:r>
        <w:t xml:space="preserve">Healthcare Access for Special Populations</w:t>
      </w:r>
    </w:p>
    <w:p>
      <w:pPr>
        <w:numPr>
          <w:ilvl w:val="0"/>
          <w:numId w:val="1001"/>
        </w:numPr>
        <w:pStyle w:val="Compact"/>
      </w:pPr>
      <w:r>
        <w:t xml:space="preserve">Legislative Actions Impacting Health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