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4d6b48c69a8adadc30a598132b8ae5f17fc34e"/>
    <w:p>
      <w:pPr>
        <w:pStyle w:val="Heading1"/>
      </w:pPr>
      <w:r>
        <w:t xml:space="preserve">Ashley Hinson’s Positions On Consumer Protections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Financial Protections and Economic Policy</w:t>
      </w:r>
    </w:p>
    <w:p>
      <w:pPr>
        <w:numPr>
          <w:ilvl w:val="0"/>
          <w:numId w:val="1001"/>
        </w:numPr>
        <w:pStyle w:val="Compact"/>
      </w:pPr>
      <w:r>
        <w:t xml:space="preserve">Privacy Rights, Digital Regulation, and Data Security</w:t>
      </w:r>
    </w:p>
    <w:p>
      <w:pPr>
        <w:numPr>
          <w:ilvl w:val="0"/>
          <w:numId w:val="1001"/>
        </w:numPr>
        <w:pStyle w:val="Compact"/>
      </w:pPr>
      <w:r>
        <w:t xml:space="preserve">Family, Child, and Educational Protections</w:t>
      </w:r>
    </w:p>
    <w:p>
      <w:pPr>
        <w:numPr>
          <w:ilvl w:val="0"/>
          <w:numId w:val="1001"/>
        </w:numPr>
        <w:pStyle w:val="Compact"/>
      </w:pPr>
      <w:r>
        <w:t xml:space="preserve">Infrastructure and Federal Funding Allocation</w:t>
      </w:r>
    </w:p>
    <w:p>
      <w:pPr>
        <w:numPr>
          <w:ilvl w:val="0"/>
          <w:numId w:val="1001"/>
        </w:numPr>
        <w:pStyle w:val="Compact"/>
      </w:pPr>
      <w:r>
        <w:t xml:space="preserve">Healthcare and Pharmaceutical Access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2026-01-27T02:08:22Z</dcterms:created>
  <dcterms:modified xsi:type="dcterms:W3CDTF">2026-01-27T02:08:22Z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