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influence-of-hometown"/>
    <w:p>
      <w:pPr>
        <w:pStyle w:val="Heading1"/>
      </w:pPr>
      <w:r>
        <w:t xml:space="preserve">Influence of Hometown</w:t>
      </w:r>
    </w:p>
    <w:bookmarkStart w:id="22" w:name="impact-on-personal-values"/>
    <w:p>
      <w:pPr>
        <w:pStyle w:val="Heading3"/>
      </w:pPr>
      <w:r>
        <w:t xml:space="preserve">Impact on Personal Values</w:t>
      </w:r>
    </w:p>
    <w:p>
      <w:pPr>
        <w:pStyle w:val="FirstParagraph"/>
      </w:pPr>
      <w:r>
        <w:rPr>
          <w:bCs/>
          <w:b/>
        </w:rPr>
        <w:t xml:space="preserve">2022: Hinson Lived In And Previously Represented Parts Of Linn-Mar District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‘</w:t>
      </w:r>
      <w:r>
        <w:t xml:space="preserve">Linn-Mar is home turf for Hinson, who lives in the district and represented a chunk of this territory as an Iowa House member.</w:t>
      </w:r>
      <w:r>
        <w:t xml:space="preserve">’</w:t>
      </w:r>
      <w:r>
        <w:t xml:space="preserve"> </w:t>
      </w:r>
      <w:r>
        <w:t xml:space="preserve">[Gazette,</w:t>
      </w:r>
      <w:r>
        <w:t xml:space="preserve"> </w:t>
      </w:r>
      <w:hyperlink r:id="rId20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Lived In Marion, Iowa In 2020</w:t>
      </w:r>
      <w:r>
        <w:t xml:space="preserve"> </w:t>
      </w:r>
      <w:r>
        <w:t xml:space="preserve">According to Telegraph Herald (Dubuque, IA),</w:t>
      </w:r>
      <w:r>
        <w:t xml:space="preserve"> </w:t>
      </w:r>
      <w:r>
        <w:t xml:space="preserve">“</w:t>
      </w:r>
      <w:r>
        <w:t xml:space="preserve">Lives in: Marion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10/11/20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127-5W21-JCDM-J05N-00000-00&amp;context=1519360" TargetMode="External" /><Relationship Type="http://schemas.openxmlformats.org/officeDocument/2006/relationships/hyperlink" Id="rId20" Target="https://advance.lexis.com/api/document?collection=news&amp;id=urn:contentItem:670K-SPX1-DXVP-V3X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127-5W21-JCDM-J05N-00000-00&amp;context=1519360" TargetMode="External" /><Relationship Type="http://schemas.openxmlformats.org/officeDocument/2006/relationships/hyperlink" Id="rId20" Target="https://advance.lexis.com/api/document?collection=news&amp;id=urn:contentItem:670K-SPX1-DXVP-V3X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