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campaigns-for-office"/>
    <w:p>
      <w:pPr>
        <w:pStyle w:val="Heading1"/>
      </w:pPr>
      <w:r>
        <w:t xml:space="preserve">Ashley Hinson’s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 Campaigns and Political Endorsements</w:t>
      </w:r>
    </w:p>
    <w:p>
      <w:pPr>
        <w:numPr>
          <w:ilvl w:val="0"/>
          <w:numId w:val="1001"/>
        </w:numPr>
        <w:pStyle w:val="Compact"/>
      </w:pPr>
      <w:r>
        <w:t xml:space="preserve">Policy Positions and Legislative Activity During Campaigns</w:t>
      </w:r>
    </w:p>
    <w:p>
      <w:pPr>
        <w:numPr>
          <w:ilvl w:val="0"/>
          <w:numId w:val="1001"/>
        </w:numPr>
        <w:pStyle w:val="Compact"/>
      </w:pPr>
      <w:r>
        <w:t xml:space="preserve">Campaign Interactions, Events, and Community Engagement</w:t>
      </w:r>
    </w:p>
    <w:p>
      <w:pPr>
        <w:numPr>
          <w:ilvl w:val="0"/>
          <w:numId w:val="1001"/>
        </w:numPr>
        <w:pStyle w:val="Compact"/>
      </w:pPr>
      <w:r>
        <w:t xml:space="preserve">Media Relations, Advertising, and Staff Transitions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