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Xe9adaeaaf9fbeddc3052e8b1348b2c5feaa3160"/>
    <w:p>
      <w:pPr>
        <w:pStyle w:val="Heading1"/>
      </w:pPr>
      <w:r>
        <w:t xml:space="preserve">Ashley Hinson’s Positions On Banking and Finance Policy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Pandemic Response and Economic Recovery</w:t>
      </w:r>
    </w:p>
    <w:p>
      <w:pPr>
        <w:numPr>
          <w:ilvl w:val="0"/>
          <w:numId w:val="1001"/>
        </w:numPr>
        <w:pStyle w:val="Compact"/>
      </w:pPr>
      <w:r>
        <w:t xml:space="preserve">Banking, Taxation, and Financial Regulation</w:t>
      </w:r>
    </w:p>
    <w:p>
      <w:pPr>
        <w:numPr>
          <w:ilvl w:val="0"/>
          <w:numId w:val="1001"/>
        </w:numPr>
        <w:pStyle w:val="Compact"/>
      </w:pPr>
      <w:r>
        <w:t xml:space="preserve">Federal Spending and Budget Policy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2026-01-27T02:08:23Z</dcterms:created>
  <dcterms:modified xsi:type="dcterms:W3CDTF">2026-01-27T02:08:23Z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