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6cde603a16f3bee0ec125bc32f1e7090342dcd9"/>
    <w:p>
      <w:pPr>
        <w:pStyle w:val="Heading1"/>
      </w:pPr>
      <w:r>
        <w:t xml:space="preserve">Ashley Hinson’s Positions On Arts and Humanities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Engagement with Local Communities</w:t>
      </w:r>
    </w:p>
    <w:p>
      <w:pPr>
        <w:numPr>
          <w:ilvl w:val="0"/>
          <w:numId w:val="1001"/>
        </w:numPr>
        <w:pStyle w:val="Compact"/>
      </w:pPr>
      <w:r>
        <w:t xml:space="preserve">Federal Funding for Arts and Humanities</w:t>
      </w:r>
    </w:p>
    <w:p>
      <w:pPr>
        <w:numPr>
          <w:ilvl w:val="0"/>
          <w:numId w:val="1001"/>
        </w:numPr>
        <w:pStyle w:val="Compact"/>
      </w:pPr>
      <w:r>
        <w:t xml:space="preserve">Legislation and Policy Leadership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2026-01-27T02:08:23Z</dcterms:created>
  <dcterms:modified xsi:type="dcterms:W3CDTF">2026-01-27T02:08:23Z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