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5a36052063f0616e71633f8bc4fcec8049f8837"/>
    <w:p>
      <w:pPr>
        <w:pStyle w:val="Heading1"/>
      </w:pPr>
      <w:r>
        <w:t xml:space="preserve">Anna Paulina Luna’s Positions On Government and Campaign Reform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Elections, Voting, and Campaign Reform</w:t>
      </w:r>
    </w:p>
    <w:p>
      <w:pPr>
        <w:numPr>
          <w:ilvl w:val="0"/>
          <w:numId w:val="1001"/>
        </w:numPr>
        <w:pStyle w:val="Compact"/>
      </w:pPr>
      <w:r>
        <w:t xml:space="preserve">Government Operations and Legislative Reform</w:t>
      </w:r>
    </w:p>
    <w:p>
      <w:pPr>
        <w:numPr>
          <w:ilvl w:val="0"/>
          <w:numId w:val="1001"/>
        </w:numPr>
        <w:pStyle w:val="Compact"/>
      </w:pPr>
      <w:r>
        <w:t xml:space="preserve">Government Transparency and Accountability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