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personal-wealth"/>
    <w:p>
      <w:pPr>
        <w:pStyle w:val="Heading1"/>
      </w:pPr>
      <w:r>
        <w:t xml:space="preserve">Anna Paulina Luna’s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Anna Paulina Luna’s Wealth</w:t>
      </w:r>
    </w:p>
    <w:p>
      <w:pPr>
        <w:numPr>
          <w:ilvl w:val="0"/>
          <w:numId w:val="1001"/>
        </w:numPr>
        <w:pStyle w:val="Compact"/>
      </w:pPr>
      <w:r>
        <w:t xml:space="preserve">Financial Disclosure and Transparency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