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5c87a2bfb3f7042e3381781a23cf4878aa2256"/>
    <w:p>
      <w:pPr>
        <w:pStyle w:val="Heading1"/>
      </w:pPr>
      <w:r>
        <w:t xml:space="preserve">Anna Paulina Luna’s Relationships with Media, Activist Groups, and the Public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Relationships with Media, Activist Groups, and the Public</w:t>
      </w:r>
    </w:p>
    <w:p>
      <w:pPr>
        <w:numPr>
          <w:ilvl w:val="0"/>
          <w:numId w:val="1001"/>
        </w:numPr>
        <w:pStyle w:val="Compact"/>
      </w:pPr>
      <w:r>
        <w:t xml:space="preserve">Engagement with News Media and Commentary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