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e799451424f1b9b7817c21a6c205e81bad4791c"/>
    <w:p>
      <w:pPr>
        <w:pStyle w:val="Heading1"/>
      </w:pPr>
      <w:r>
        <w:t xml:space="preserve">Anna Paulina Luna’s Relationships with Individuals and Groups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Relationships with Media, Activist Groups, and the Public</w:t>
      </w:r>
    </w:p>
    <w:p>
      <w:pPr>
        <w:numPr>
          <w:ilvl w:val="0"/>
          <w:numId w:val="1001"/>
        </w:numPr>
        <w:pStyle w:val="Compact"/>
      </w:pPr>
      <w:r>
        <w:t xml:space="preserve">Relationships with Political Figures and Institutions</w:t>
      </w:r>
    </w:p>
    <w:p>
      <w:pPr>
        <w:numPr>
          <w:ilvl w:val="0"/>
          <w:numId w:val="1001"/>
        </w:numPr>
        <w:pStyle w:val="Compact"/>
      </w:pPr>
      <w:r>
        <w:t xml:space="preserve">Relationships with Opponents, Critics, and Controversies</w:t>
      </w:r>
    </w:p>
    <w:p>
      <w:pPr>
        <w:numPr>
          <w:ilvl w:val="0"/>
          <w:numId w:val="1001"/>
        </w:numPr>
        <w:pStyle w:val="Compact"/>
      </w:pPr>
      <w:r>
        <w:t xml:space="preserve">Direct Outreach to Constituents and the Public</w:t>
      </w:r>
    </w:p>
    <w:p>
      <w:pPr>
        <w:numPr>
          <w:ilvl w:val="0"/>
          <w:numId w:val="1001"/>
        </w:numPr>
        <w:pStyle w:val="Compact"/>
      </w:pPr>
      <w:r>
        <w:t xml:space="preserve">Collaboration and Conflict with Congressional Members</w:t>
      </w:r>
    </w:p>
    <w:p>
      <w:pPr>
        <w:numPr>
          <w:ilvl w:val="0"/>
          <w:numId w:val="1001"/>
        </w:numPr>
        <w:pStyle w:val="Compact"/>
      </w:pPr>
      <w:r>
        <w:t xml:space="preserve">Engagement with Presidents and Administrations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