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public-sector-career"/>
    <w:p>
      <w:pPr>
        <w:pStyle w:val="Heading1"/>
      </w:pPr>
      <w:r>
        <w:t xml:space="preserve">Anna Paulina Luna’s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Early Involvement and Background in Public Sector</w:t>
      </w:r>
    </w:p>
    <w:p>
      <w:pPr>
        <w:numPr>
          <w:ilvl w:val="0"/>
          <w:numId w:val="1001"/>
        </w:numPr>
        <w:pStyle w:val="Compact"/>
      </w:pPr>
      <w:r>
        <w:t xml:space="preserve">Political Positions, Media Engagement, and Oversight Activities</w:t>
      </w:r>
    </w:p>
    <w:p>
      <w:pPr>
        <w:numPr>
          <w:ilvl w:val="0"/>
          <w:numId w:val="1001"/>
        </w:numPr>
        <w:pStyle w:val="Compact"/>
      </w:pPr>
      <w:r>
        <w:t xml:space="preserve">Congressional Career and Legislative Actions</w:t>
      </w:r>
    </w:p>
    <w:p>
      <w:pPr>
        <w:numPr>
          <w:ilvl w:val="0"/>
          <w:numId w:val="1001"/>
        </w:numPr>
        <w:pStyle w:val="Compact"/>
      </w:pPr>
      <w:r>
        <w:t xml:space="preserve">Key Issue Advocacy and Policy Stances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