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personal-litigation-involving-andy-ogles"/>
    <w:p>
      <w:pPr>
        <w:pStyle w:val="Heading1"/>
      </w:pPr>
      <w:r>
        <w:t xml:space="preserve">Personal Litigation Involving Andy Ogles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Withdrawal and Closure of Legal Investigations</w:t>
      </w:r>
    </w:p>
    <w:p>
      <w:pPr>
        <w:numPr>
          <w:ilvl w:val="0"/>
          <w:numId w:val="1001"/>
        </w:numPr>
        <w:pStyle w:val="Compact"/>
      </w:pPr>
      <w:r>
        <w:t xml:space="preserve">Campaign Finance Litigation and Complaints</w:t>
      </w:r>
    </w:p>
    <w:p>
      <w:pPr>
        <w:numPr>
          <w:ilvl w:val="0"/>
          <w:numId w:val="1001"/>
        </w:numPr>
        <w:pStyle w:val="Compact"/>
      </w:pPr>
      <w:r>
        <w:t xml:space="preserve">Other Ethics and Legal Compliance Issues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2026-01-27T02:09:13Z</dcterms:created>
  <dcterms:modified xsi:type="dcterms:W3CDTF">2026-01-27T02:09:13Z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