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4e94e0f557b5806981ba0eaf06e57dca5c72b4"/>
    <w:p>
      <w:pPr>
        <w:pStyle w:val="Heading1"/>
      </w:pPr>
      <w:r>
        <w:t xml:space="preserve">Andy Ogles’s Positions On Judicial Affairs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Legal and Judicial Proceedings Involving Andy Ogles</w:t>
      </w:r>
    </w:p>
    <w:p>
      <w:pPr>
        <w:numPr>
          <w:ilvl w:val="0"/>
          <w:numId w:val="1001"/>
        </w:numPr>
        <w:pStyle w:val="Compact"/>
      </w:pPr>
      <w:r>
        <w:t xml:space="preserve">Legislative Activity and Judicial Policy Stances</w:t>
      </w:r>
    </w:p>
    <w:p>
      <w:pPr>
        <w:numPr>
          <w:ilvl w:val="0"/>
          <w:numId w:val="1001"/>
        </w:numPr>
        <w:pStyle w:val="Compact"/>
      </w:pPr>
      <w:r>
        <w:t xml:space="preserve">Political and Public Reactions to Judicial Issues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2026-01-27T02:09:12Z</dcterms:created>
  <dcterms:modified xsi:type="dcterms:W3CDTF">2026-01-27T02:09:12Z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