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c7211220b1aee881c6b950d3f878afe52055557"/>
    <w:p>
      <w:pPr>
        <w:pStyle w:val="Heading1"/>
      </w:pPr>
      <w:r>
        <w:t xml:space="preserve">Andy Ogles’s Positions On Civil Rights and Liberties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Positions on Individual Liberties and Civil Rights</w:t>
      </w:r>
    </w:p>
    <w:p>
      <w:pPr>
        <w:numPr>
          <w:ilvl w:val="0"/>
          <w:numId w:val="1001"/>
        </w:numPr>
        <w:pStyle w:val="Compact"/>
      </w:pPr>
      <w:r>
        <w:t xml:space="preserve">Transparency and Public Statements</w:t>
      </w:r>
    </w:p>
    <w:p>
      <w:pPr>
        <w:numPr>
          <w:ilvl w:val="0"/>
          <w:numId w:val="1001"/>
        </w:numPr>
        <w:pStyle w:val="Compact"/>
      </w:pPr>
      <w:r>
        <w:t xml:space="preserve">Free Speech and Legislative Initiatives</w:t>
      </w:r>
    </w:p>
    <w:p>
      <w:pPr>
        <w:numPr>
          <w:ilvl w:val="0"/>
          <w:numId w:val="1001"/>
        </w:numPr>
        <w:pStyle w:val="Compact"/>
      </w:pPr>
      <w:r>
        <w:t xml:space="preserve">Civil Rights in Education and Minority Groups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