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andy-ogless-campaigns-for-office"/>
    <w:p>
      <w:pPr>
        <w:pStyle w:val="Heading1"/>
      </w:pPr>
      <w:r>
        <w:t xml:space="preserve">Andy Ogles’s Campaigns for Office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Maury County Mayoral Campaigns</w:t>
      </w:r>
    </w:p>
    <w:p>
      <w:pPr>
        <w:numPr>
          <w:ilvl w:val="0"/>
          <w:numId w:val="1001"/>
        </w:numPr>
        <w:pStyle w:val="Compact"/>
      </w:pPr>
      <w:r>
        <w:t xml:space="preserve">Congressional Campaigns</w:t>
      </w:r>
    </w:p>
    <w:p>
      <w:pPr>
        <w:numPr>
          <w:ilvl w:val="0"/>
          <w:numId w:val="1001"/>
        </w:numPr>
        <w:pStyle w:val="Compact"/>
      </w:pPr>
      <w:r>
        <w:t xml:space="preserve">Policy Positions and Legislative Actions During Campaigns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