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olitical-use-and-impact-of-wealth"/>
    <w:p>
      <w:pPr>
        <w:pStyle w:val="Heading1"/>
      </w:pPr>
      <w:r>
        <w:t xml:space="preserve">Political Use and Impact of Wealth</w:t>
      </w:r>
    </w:p>
    <w:bookmarkStart w:id="22" w:name="influence-on-campaigns-and-elections"/>
    <w:p>
      <w:pPr>
        <w:pStyle w:val="Heading3"/>
      </w:pPr>
      <w:r>
        <w:t xml:space="preserve">Influence on Campaigns and Elections</w:t>
      </w:r>
    </w:p>
    <w:bookmarkStart w:id="21" w:name="perceptions-of-financial-strength"/>
    <w:p>
      <w:pPr>
        <w:pStyle w:val="Heading4"/>
      </w:pPr>
      <w:r>
        <w:t xml:space="preserve">Perceptions of Financial Strength</w:t>
      </w:r>
    </w:p>
    <w:p>
      <w:pPr>
        <w:pStyle w:val="FirstParagraph"/>
      </w:pPr>
      <w:r>
        <w:rPr>
          <w:bCs/>
          <w:b/>
        </w:rPr>
        <w:t xml:space="preserve">Ogles Publicly Characterized Himself As A Grassroots Candidate With Limited Wealth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I’m not a wealthy man who can self-fund the millions of dollars needed to run a congressional campaign,’ Ogles said.</w:t>
      </w:r>
      <w:r>
        <w:t xml:space="preserve"> </w:t>
      </w:r>
      <w:r>
        <w:t xml:space="preserve">‘</w:t>
      </w:r>
      <w:r>
        <w:t xml:space="preserve">I am a grassroots representative, and I pledged everything I own to run for the honor of representing Tennessee’s Fifth Congressional District.</w:t>
      </w:r>
      <w:r>
        <w:t xml:space="preserve">’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20">
        <w:r>
          <w:rPr>
            <w:rStyle w:val="Hyperlink"/>
          </w:rPr>
          <w:t xml:space="preserve">5/26/24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40-BBB1-DXGX-648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40-BBB1-DXGX-648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2026-01-27T02:09:21Z</dcterms:created>
  <dcterms:modified xsi:type="dcterms:W3CDTF">2026-01-27T02:09:21Z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