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andy-ogless-personal-wealth"/>
    <w:p>
      <w:pPr>
        <w:pStyle w:val="Heading1"/>
      </w:pPr>
      <w:r>
        <w:t xml:space="preserve">Andy Ogles’s Personal Wealth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Sources of Personal Wealth</w:t>
      </w:r>
    </w:p>
    <w:p>
      <w:pPr>
        <w:numPr>
          <w:ilvl w:val="0"/>
          <w:numId w:val="1001"/>
        </w:numPr>
        <w:pStyle w:val="Compact"/>
      </w:pPr>
      <w:r>
        <w:t xml:space="preserve">Financial Disclosures and Legal Scrutiny</w:t>
      </w:r>
    </w:p>
    <w:p>
      <w:pPr>
        <w:numPr>
          <w:ilvl w:val="0"/>
          <w:numId w:val="1001"/>
        </w:numPr>
        <w:pStyle w:val="Compact"/>
      </w:pPr>
      <w:r>
        <w:t xml:space="preserve">Political Use and Impact of Wealth</w:t>
      </w:r>
    </w:p>
    <w:p>
      <w:pPr>
        <w:numPr>
          <w:ilvl w:val="0"/>
          <w:numId w:val="1001"/>
        </w:numPr>
        <w:pStyle w:val="Compact"/>
      </w:pPr>
      <w:r>
        <w:t xml:space="preserve">Investments and Assets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2026-01-27T02:09:14Z</dcterms:created>
  <dcterms:modified xsi:type="dcterms:W3CDTF">2026-01-27T02:09:14Z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