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public-sector-career"/>
    <w:p>
      <w:pPr>
        <w:pStyle w:val="Heading1"/>
      </w:pPr>
      <w:r>
        <w:t xml:space="preserve">Andy Ogles’s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Local Government Leadership (Maury County Mayor)</w:t>
      </w:r>
    </w:p>
    <w:p>
      <w:pPr>
        <w:numPr>
          <w:ilvl w:val="0"/>
          <w:numId w:val="1001"/>
        </w:numPr>
        <w:pStyle w:val="Compact"/>
      </w:pPr>
      <w:r>
        <w:t xml:space="preserve">Congressional Career</w:t>
      </w:r>
    </w:p>
    <w:p>
      <w:pPr>
        <w:numPr>
          <w:ilvl w:val="0"/>
          <w:numId w:val="1001"/>
        </w:numPr>
        <w:pStyle w:val="Compact"/>
      </w:pPr>
      <w:r>
        <w:t xml:space="preserve">Campaign Finance and Ethics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