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## When to Use the Research Agent</w:t>
      </w:r>
      <w:r>
        <w:t xml:space="preserve"> </w:t>
      </w:r>
      <w:r>
        <w:t xml:space="preserve">If you're looking for a specific page or a single piece of information, the regular search bar is your best bet. But some questions don't have a single answer—they require pulling together information scattered across dozens of pages. That's where this tool shines. Ask it a complex question, and it will scan through the databases, gather the relevant pieces, and assemble them into a clear summary with links to the original sources. Think of it as a research assistant that can read through hundreds of pages in seconds and write you a custom briefing.</w:t>
      </w:r>
      <w:r>
        <w:t xml:space="preserve"> </w:t>
      </w:r>
      <w:r>
        <w:t xml:space="preserve">## Ask a question</w:t>
      </w:r>
      <w:r>
        <w:t xml:space="preserve"> </w:t>
      </w:r>
      <w:r>
        <w:t xml:space="preserve">[Video content not available in document format]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2026-01-27T02:10:20Z</dcterms:created>
  <dcterms:modified xsi:type="dcterms:W3CDTF">2026-01-27T02:10:20Z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